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377447">
      <w:pPr>
        <w:pStyle w:val="3"/>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both"/>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附件</w:t>
      </w:r>
    </w:p>
    <w:p w14:paraId="57C99FFC">
      <w:pPr>
        <w:rPr>
          <w:rFonts w:hint="eastAsia" w:ascii="Times New Roman" w:hAnsi="Times New Roman" w:cs="Times New Roman"/>
          <w:lang w:eastAsia="zh-CN"/>
        </w:rPr>
      </w:pPr>
    </w:p>
    <w:p w14:paraId="573A3CF1">
      <w:pPr>
        <w:pStyle w:val="3"/>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全国市场监管系统先进集体和</w:t>
      </w:r>
    </w:p>
    <w:p w14:paraId="59FEFDBC">
      <w:pPr>
        <w:pStyle w:val="3"/>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先进工作者推荐对象名单</w:t>
      </w:r>
    </w:p>
    <w:p w14:paraId="2DEB4996">
      <w:pPr>
        <w:pageBreakBefore w:val="0"/>
        <w:widowControl w:val="0"/>
        <w:kinsoku/>
        <w:wordWrap/>
        <w:overflowPunct/>
        <w:topLinePunct w:val="0"/>
        <w:autoSpaceDE/>
        <w:autoSpaceDN/>
        <w:bidi w:val="0"/>
        <w:adjustRightInd/>
        <w:snapToGrid/>
        <w:spacing w:line="540" w:lineRule="exact"/>
        <w:rPr>
          <w:rFonts w:hint="eastAsia" w:ascii="仿宋_GB2312" w:hAnsi="仿宋_GB2312" w:eastAsia="仿宋_GB2312" w:cs="仿宋_GB2312"/>
          <w:kern w:val="0"/>
          <w:sz w:val="32"/>
          <w:szCs w:val="32"/>
          <w:lang w:val="en-US" w:eastAsia="zh-CN" w:bidi="ar-SA"/>
        </w:rPr>
      </w:pPr>
      <w:r>
        <w:rPr>
          <w:rFonts w:hint="eastAsia" w:ascii="黑体" w:hAnsi="黑体" w:eastAsia="黑体" w:cs="黑体"/>
          <w:kern w:val="0"/>
          <w:sz w:val="32"/>
          <w:szCs w:val="32"/>
          <w:lang w:val="en-US" w:eastAsia="zh-CN" w:bidi="ar-SA"/>
        </w:rPr>
        <w:t xml:space="preserve">                   </w:t>
      </w:r>
      <w:r>
        <w:rPr>
          <w:rFonts w:hint="eastAsia" w:ascii="仿宋_GB2312" w:hAnsi="仿宋_GB2312" w:eastAsia="仿宋_GB2312" w:cs="仿宋_GB2312"/>
          <w:kern w:val="0"/>
          <w:sz w:val="32"/>
          <w:szCs w:val="32"/>
          <w:lang w:val="en-US" w:eastAsia="zh-CN" w:bidi="ar-SA"/>
        </w:rPr>
        <w:t xml:space="preserve"> </w:t>
      </w:r>
    </w:p>
    <w:p w14:paraId="29C03A7D">
      <w:pPr>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kern w:val="0"/>
          <w:sz w:val="32"/>
          <w:szCs w:val="32"/>
          <w:lang w:val="en-US" w:eastAsia="zh-CN" w:bidi="ar-SA"/>
        </w:rPr>
      </w:pPr>
      <w:r>
        <w:rPr>
          <w:rFonts w:hint="eastAsia" w:ascii="黑体" w:hAnsi="黑体" w:eastAsia="黑体" w:cs="黑体"/>
          <w:kern w:val="2"/>
          <w:sz w:val="32"/>
          <w:szCs w:val="32"/>
          <w:lang w:val="en-US" w:eastAsia="zh-CN" w:bidi="ar-SA"/>
        </w:rPr>
        <w:t>一、全国</w:t>
      </w:r>
      <w:r>
        <w:rPr>
          <w:rFonts w:hint="eastAsia" w:ascii="黑体" w:hAnsi="黑体" w:eastAsia="黑体" w:cs="黑体"/>
          <w:spacing w:val="-6"/>
          <w:sz w:val="32"/>
          <w:szCs w:val="32"/>
          <w:lang w:val="en-US" w:eastAsia="zh-CN"/>
        </w:rPr>
        <w:t>市场监管</w:t>
      </w:r>
      <w:r>
        <w:rPr>
          <w:rFonts w:hint="eastAsia" w:ascii="黑体" w:hAnsi="黑体" w:eastAsia="黑体" w:cs="黑体"/>
          <w:kern w:val="2"/>
          <w:sz w:val="32"/>
          <w:szCs w:val="32"/>
          <w:lang w:val="en-US" w:eastAsia="zh-CN" w:bidi="ar-SA"/>
        </w:rPr>
        <w:t>系统先进集体（7个）</w:t>
      </w:r>
    </w:p>
    <w:p w14:paraId="12029649">
      <w:pPr>
        <w:pageBreakBefore w:val="0"/>
        <w:widowControl w:val="0"/>
        <w:kinsoku/>
        <w:wordWrap/>
        <w:overflowPunct/>
        <w:topLinePunct w:val="0"/>
        <w:autoSpaceDE/>
        <w:autoSpaceDN/>
        <w:bidi w:val="0"/>
        <w:adjustRightInd/>
        <w:snapToGrid/>
        <w:spacing w:line="600" w:lineRule="exact"/>
        <w:ind w:firstLine="620" w:firstLineChars="200"/>
        <w:textAlignment w:val="auto"/>
        <w:rPr>
          <w:rFonts w:hint="eastAsia" w:ascii="仿宋_GB2312" w:hAnsi="仿宋_GB2312" w:eastAsia="仿宋_GB2312" w:cs="仿宋_GB2312"/>
          <w:kern w:val="0"/>
          <w:sz w:val="31"/>
          <w:szCs w:val="31"/>
          <w:lang w:val="en-US" w:eastAsia="zh-CN" w:bidi="ar"/>
        </w:rPr>
      </w:pPr>
      <w:r>
        <w:rPr>
          <w:rFonts w:hint="eastAsia" w:ascii="仿宋_GB2312" w:hAnsi="仿宋_GB2312" w:eastAsia="仿宋_GB2312" w:cs="仿宋_GB2312"/>
          <w:kern w:val="0"/>
          <w:sz w:val="31"/>
          <w:szCs w:val="31"/>
          <w:lang w:val="en-US" w:eastAsia="zh-CN" w:bidi="ar"/>
        </w:rPr>
        <w:t>福建省市场监督管理局特种设备安全监察处</w:t>
      </w:r>
    </w:p>
    <w:p w14:paraId="5C5B1200">
      <w:pPr>
        <w:pageBreakBefore w:val="0"/>
        <w:widowControl w:val="0"/>
        <w:kinsoku/>
        <w:wordWrap/>
        <w:overflowPunct/>
        <w:topLinePunct w:val="0"/>
        <w:autoSpaceDE/>
        <w:autoSpaceDN/>
        <w:bidi w:val="0"/>
        <w:adjustRightInd/>
        <w:snapToGrid/>
        <w:spacing w:line="600" w:lineRule="exact"/>
        <w:ind w:firstLine="620" w:firstLineChars="200"/>
        <w:textAlignment w:val="auto"/>
        <w:rPr>
          <w:rFonts w:hint="eastAsia" w:ascii="仿宋_GB2312" w:hAnsi="仿宋_GB2312" w:eastAsia="仿宋_GB2312" w:cs="仿宋_GB2312"/>
          <w:kern w:val="0"/>
          <w:sz w:val="31"/>
          <w:szCs w:val="31"/>
          <w:lang w:val="en-US" w:eastAsia="zh-CN" w:bidi="ar"/>
        </w:rPr>
      </w:pPr>
      <w:r>
        <w:rPr>
          <w:rFonts w:hint="eastAsia" w:ascii="仿宋_GB2312" w:hAnsi="仿宋_GB2312" w:eastAsia="仿宋_GB2312" w:cs="仿宋_GB2312"/>
          <w:kern w:val="0"/>
          <w:sz w:val="31"/>
          <w:szCs w:val="31"/>
          <w:lang w:val="en-US" w:eastAsia="zh-CN" w:bidi="ar"/>
        </w:rPr>
        <w:t>福建省福州市鼓楼区鼓东市场监督管理所</w:t>
      </w:r>
    </w:p>
    <w:p w14:paraId="64B86E6F">
      <w:pPr>
        <w:pageBreakBefore w:val="0"/>
        <w:widowControl w:val="0"/>
        <w:kinsoku/>
        <w:wordWrap/>
        <w:overflowPunct/>
        <w:topLinePunct w:val="0"/>
        <w:autoSpaceDE/>
        <w:autoSpaceDN/>
        <w:bidi w:val="0"/>
        <w:adjustRightInd/>
        <w:snapToGrid/>
        <w:spacing w:line="600" w:lineRule="exact"/>
        <w:ind w:firstLine="620" w:firstLineChars="200"/>
        <w:textAlignment w:val="auto"/>
        <w:rPr>
          <w:rFonts w:hint="eastAsia" w:ascii="仿宋_GB2312" w:hAnsi="仿宋_GB2312" w:eastAsia="仿宋_GB2312" w:cs="仿宋_GB2312"/>
          <w:kern w:val="0"/>
          <w:sz w:val="31"/>
          <w:szCs w:val="31"/>
          <w:lang w:val="en-US" w:eastAsia="zh-CN" w:bidi="ar"/>
        </w:rPr>
      </w:pPr>
      <w:r>
        <w:rPr>
          <w:rFonts w:hint="eastAsia" w:ascii="仿宋_GB2312" w:hAnsi="仿宋_GB2312" w:eastAsia="仿宋_GB2312" w:cs="仿宋_GB2312"/>
          <w:kern w:val="0"/>
          <w:sz w:val="31"/>
          <w:szCs w:val="31"/>
          <w:lang w:val="en-US" w:eastAsia="zh-CN" w:bidi="ar"/>
        </w:rPr>
        <w:t>福建省厦门市思明区</w:t>
      </w:r>
      <w:r>
        <w:rPr>
          <w:rFonts w:hint="eastAsia" w:ascii="仿宋_GB2312" w:hAnsi="仿宋_GB2312" w:cs="仿宋_GB2312"/>
          <w:kern w:val="0"/>
          <w:sz w:val="31"/>
          <w:szCs w:val="31"/>
          <w:lang w:val="en-US" w:eastAsia="zh-CN" w:bidi="ar"/>
        </w:rPr>
        <w:t>市场监督管理局</w:t>
      </w:r>
      <w:r>
        <w:rPr>
          <w:rFonts w:hint="eastAsia" w:ascii="仿宋_GB2312" w:hAnsi="仿宋_GB2312" w:eastAsia="仿宋_GB2312" w:cs="仿宋_GB2312"/>
          <w:kern w:val="0"/>
          <w:sz w:val="31"/>
          <w:szCs w:val="31"/>
          <w:lang w:val="en-US" w:eastAsia="zh-CN" w:bidi="ar"/>
        </w:rPr>
        <w:t>莲前市场监督管理所</w:t>
      </w:r>
    </w:p>
    <w:p w14:paraId="47F13175">
      <w:pPr>
        <w:pageBreakBefore w:val="0"/>
        <w:widowControl w:val="0"/>
        <w:kinsoku/>
        <w:wordWrap/>
        <w:overflowPunct/>
        <w:topLinePunct w:val="0"/>
        <w:autoSpaceDE/>
        <w:autoSpaceDN/>
        <w:bidi w:val="0"/>
        <w:adjustRightInd/>
        <w:snapToGrid/>
        <w:spacing w:line="600" w:lineRule="exact"/>
        <w:ind w:firstLine="620" w:firstLineChars="200"/>
        <w:textAlignment w:val="auto"/>
        <w:rPr>
          <w:rFonts w:hint="eastAsia" w:ascii="仿宋_GB2312" w:hAnsi="仿宋_GB2312" w:eastAsia="仿宋_GB2312" w:cs="仿宋_GB2312"/>
          <w:kern w:val="0"/>
          <w:sz w:val="31"/>
          <w:szCs w:val="31"/>
          <w:lang w:val="en-US" w:eastAsia="zh-CN" w:bidi="ar"/>
        </w:rPr>
      </w:pPr>
      <w:r>
        <w:rPr>
          <w:rFonts w:hint="eastAsia" w:ascii="仿宋_GB2312" w:hAnsi="仿宋_GB2312" w:eastAsia="仿宋_GB2312" w:cs="仿宋_GB2312"/>
          <w:kern w:val="0"/>
          <w:sz w:val="31"/>
          <w:szCs w:val="31"/>
          <w:lang w:val="en-US" w:eastAsia="zh-CN" w:bidi="ar"/>
        </w:rPr>
        <w:t>福建省漳州市市场监管综合执法支队</w:t>
      </w:r>
    </w:p>
    <w:p w14:paraId="626BF8AE">
      <w:pPr>
        <w:pageBreakBefore w:val="0"/>
        <w:widowControl w:val="0"/>
        <w:kinsoku/>
        <w:wordWrap/>
        <w:overflowPunct/>
        <w:topLinePunct w:val="0"/>
        <w:autoSpaceDE/>
        <w:autoSpaceDN/>
        <w:bidi w:val="0"/>
        <w:adjustRightInd/>
        <w:snapToGrid/>
        <w:spacing w:line="600" w:lineRule="exact"/>
        <w:ind w:firstLine="620" w:firstLineChars="200"/>
        <w:textAlignment w:val="auto"/>
        <w:rPr>
          <w:rFonts w:hint="eastAsia" w:ascii="仿宋_GB2312" w:hAnsi="仿宋_GB2312" w:eastAsia="仿宋_GB2312" w:cs="仿宋_GB2312"/>
          <w:kern w:val="0"/>
          <w:sz w:val="31"/>
          <w:szCs w:val="31"/>
          <w:lang w:val="en-US" w:eastAsia="zh-CN" w:bidi="ar"/>
        </w:rPr>
      </w:pPr>
      <w:r>
        <w:rPr>
          <w:rFonts w:hint="eastAsia" w:ascii="仿宋_GB2312" w:hAnsi="仿宋_GB2312" w:eastAsia="仿宋_GB2312" w:cs="仿宋_GB2312"/>
          <w:kern w:val="0"/>
          <w:sz w:val="31"/>
          <w:szCs w:val="31"/>
          <w:lang w:val="en-US" w:eastAsia="zh-CN" w:bidi="ar"/>
        </w:rPr>
        <w:t>福建省莆田市城厢区市场监督管理局</w:t>
      </w:r>
    </w:p>
    <w:p w14:paraId="2F8544E2">
      <w:pPr>
        <w:pageBreakBefore w:val="0"/>
        <w:widowControl w:val="0"/>
        <w:kinsoku/>
        <w:wordWrap/>
        <w:overflowPunct/>
        <w:topLinePunct w:val="0"/>
        <w:autoSpaceDE/>
        <w:autoSpaceDN/>
        <w:bidi w:val="0"/>
        <w:adjustRightInd/>
        <w:snapToGrid/>
        <w:spacing w:line="600" w:lineRule="exact"/>
        <w:ind w:firstLine="620" w:firstLineChars="200"/>
        <w:textAlignment w:val="auto"/>
        <w:rPr>
          <w:rFonts w:hint="eastAsia" w:ascii="仿宋_GB2312" w:hAnsi="仿宋_GB2312" w:eastAsia="仿宋_GB2312" w:cs="仿宋_GB2312"/>
          <w:kern w:val="0"/>
          <w:sz w:val="31"/>
          <w:szCs w:val="31"/>
          <w:lang w:val="en-US" w:eastAsia="zh-CN" w:bidi="ar"/>
        </w:rPr>
      </w:pPr>
      <w:r>
        <w:rPr>
          <w:rFonts w:hint="eastAsia" w:ascii="仿宋_GB2312" w:hAnsi="仿宋_GB2312" w:eastAsia="仿宋_GB2312" w:cs="仿宋_GB2312"/>
          <w:kern w:val="0"/>
          <w:sz w:val="31"/>
          <w:szCs w:val="31"/>
          <w:lang w:val="en-US" w:eastAsia="zh-CN" w:bidi="ar"/>
        </w:rPr>
        <w:t>福建省上杭县古田市场监督管理所</w:t>
      </w:r>
    </w:p>
    <w:p w14:paraId="7FEC58F2">
      <w:pPr>
        <w:pageBreakBefore w:val="0"/>
        <w:widowControl w:val="0"/>
        <w:kinsoku/>
        <w:wordWrap/>
        <w:overflowPunct/>
        <w:topLinePunct w:val="0"/>
        <w:autoSpaceDE/>
        <w:autoSpaceDN/>
        <w:bidi w:val="0"/>
        <w:adjustRightInd/>
        <w:snapToGrid/>
        <w:spacing w:line="600" w:lineRule="exact"/>
        <w:ind w:firstLine="620" w:firstLineChars="200"/>
        <w:textAlignment w:val="auto"/>
        <w:rPr>
          <w:rFonts w:hint="eastAsia" w:ascii="仿宋_GB2312" w:hAnsi="仿宋_GB2312" w:eastAsia="仿宋_GB2312" w:cs="仿宋_GB2312"/>
          <w:kern w:val="0"/>
          <w:sz w:val="31"/>
          <w:szCs w:val="31"/>
          <w:lang w:val="en-US" w:eastAsia="zh-CN" w:bidi="ar"/>
        </w:rPr>
      </w:pPr>
      <w:r>
        <w:rPr>
          <w:rFonts w:hint="eastAsia" w:ascii="仿宋_GB2312" w:hAnsi="仿宋_GB2312" w:eastAsia="仿宋_GB2312" w:cs="仿宋_GB2312"/>
          <w:kern w:val="0"/>
          <w:sz w:val="31"/>
          <w:szCs w:val="31"/>
          <w:lang w:val="en-US" w:eastAsia="zh-CN" w:bidi="ar"/>
        </w:rPr>
        <w:t>福建省尤溪县洋中市场监督管理所</w:t>
      </w:r>
      <w:r>
        <w:rPr>
          <w:rFonts w:hint="eastAsia" w:ascii="仿宋_GB2312" w:hAnsi="仿宋_GB2312" w:cs="仿宋_GB2312"/>
          <w:kern w:val="0"/>
          <w:sz w:val="31"/>
          <w:szCs w:val="31"/>
          <w:lang w:val="en-US" w:eastAsia="zh-CN" w:bidi="ar"/>
        </w:rPr>
        <w:t>（备选）</w:t>
      </w:r>
    </w:p>
    <w:p w14:paraId="7B55002D">
      <w:pPr>
        <w:pStyle w:val="2"/>
        <w:pageBreakBefore w:val="0"/>
        <w:widowControl w:val="0"/>
        <w:numPr>
          <w:ilvl w:val="0"/>
          <w:numId w:val="0"/>
        </w:numPr>
        <w:kinsoku/>
        <w:wordWrap/>
        <w:overflowPunct/>
        <w:topLinePunct w:val="0"/>
        <w:autoSpaceDE/>
        <w:autoSpaceDN/>
        <w:bidi w:val="0"/>
        <w:adjustRightInd/>
        <w:snapToGrid/>
        <w:spacing w:before="0" w:after="0" w:line="600" w:lineRule="exact"/>
        <w:ind w:firstLine="640" w:firstLineChars="200"/>
        <w:textAlignment w:val="auto"/>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二、全国市场监管系统先进工作者（4名）</w:t>
      </w:r>
    </w:p>
    <w:p w14:paraId="62160227">
      <w:pPr>
        <w:keepNext w:val="0"/>
        <w:keepLines w:val="0"/>
        <w:pageBreakBefore w:val="0"/>
        <w:widowControl w:val="0"/>
        <w:kinsoku/>
        <w:wordWrap/>
        <w:overflowPunct/>
        <w:topLinePunct w:val="0"/>
        <w:autoSpaceDE/>
        <w:autoSpaceDN/>
        <w:bidi w:val="0"/>
        <w:adjustRightInd/>
        <w:snapToGrid/>
        <w:spacing w:line="600" w:lineRule="exact"/>
        <w:ind w:firstLine="620" w:firstLineChars="200"/>
        <w:textAlignment w:val="auto"/>
        <w:outlineLvl w:val="9"/>
        <w:rPr>
          <w:rFonts w:hint="eastAsia" w:ascii="仿宋_GB2312" w:hAnsi="Times New Roman" w:eastAsia="仿宋_GB2312" w:cs="Times New Roman"/>
          <w:kern w:val="0"/>
          <w:sz w:val="31"/>
          <w:szCs w:val="31"/>
          <w:lang w:val="en-US" w:eastAsia="zh-CN" w:bidi="ar"/>
        </w:rPr>
      </w:pPr>
      <w:r>
        <w:rPr>
          <w:rFonts w:hint="eastAsia" w:ascii="仿宋_GB2312" w:hAnsi="Times New Roman" w:eastAsia="仿宋_GB2312" w:cs="Times New Roman"/>
          <w:kern w:val="0"/>
          <w:sz w:val="31"/>
          <w:szCs w:val="31"/>
          <w:lang w:val="en-US" w:eastAsia="zh-CN" w:bidi="ar"/>
        </w:rPr>
        <w:t>吴良应</w:t>
      </w:r>
      <w:r>
        <w:rPr>
          <w:rFonts w:hint="eastAsia" w:ascii="仿宋_GB2312" w:hAnsi="Times New Roman" w:cs="Times New Roman"/>
          <w:kern w:val="0"/>
          <w:sz w:val="31"/>
          <w:szCs w:val="31"/>
          <w:lang w:val="en-US" w:eastAsia="zh-CN" w:bidi="ar"/>
        </w:rPr>
        <w:t xml:space="preserve">      </w:t>
      </w:r>
      <w:r>
        <w:rPr>
          <w:rFonts w:hint="eastAsia" w:ascii="仿宋_GB2312" w:hAnsi="Calibri" w:eastAsia="仿宋_GB2312" w:cs="Times New Roman"/>
          <w:spacing w:val="-11"/>
          <w:kern w:val="0"/>
          <w:sz w:val="31"/>
          <w:szCs w:val="31"/>
          <w:lang w:val="en-US" w:eastAsia="zh-CN" w:bidi="ar"/>
        </w:rPr>
        <w:t>福建省</w:t>
      </w:r>
      <w:r>
        <w:rPr>
          <w:rFonts w:hint="eastAsia" w:ascii="仿宋_GB2312" w:hAnsi="Times New Roman" w:eastAsia="仿宋_GB2312" w:cs="Times New Roman"/>
          <w:kern w:val="0"/>
          <w:sz w:val="31"/>
          <w:szCs w:val="31"/>
          <w:lang w:val="en-US" w:eastAsia="zh-CN" w:bidi="ar"/>
        </w:rPr>
        <w:t>南平市市场监管局</w:t>
      </w:r>
    </w:p>
    <w:p w14:paraId="33AF3273">
      <w:pPr>
        <w:keepNext w:val="0"/>
        <w:keepLines w:val="0"/>
        <w:pageBreakBefore w:val="0"/>
        <w:widowControl w:val="0"/>
        <w:kinsoku/>
        <w:wordWrap/>
        <w:overflowPunct/>
        <w:topLinePunct w:val="0"/>
        <w:autoSpaceDE/>
        <w:autoSpaceDN/>
        <w:bidi w:val="0"/>
        <w:adjustRightInd/>
        <w:snapToGrid/>
        <w:spacing w:line="600" w:lineRule="exact"/>
        <w:ind w:left="614" w:leftChars="192" w:firstLine="0" w:firstLineChars="0"/>
        <w:textAlignment w:val="auto"/>
        <w:outlineLvl w:val="9"/>
        <w:rPr>
          <w:rFonts w:hint="eastAsia" w:ascii="仿宋_GB2312" w:hAnsi="Calibri" w:eastAsia="仿宋_GB2312" w:cs="Times New Roman"/>
          <w:spacing w:val="-11"/>
          <w:kern w:val="0"/>
          <w:sz w:val="31"/>
          <w:szCs w:val="31"/>
          <w:lang w:val="en-US" w:eastAsia="zh-CN" w:bidi="ar"/>
        </w:rPr>
      </w:pPr>
      <w:r>
        <w:rPr>
          <w:rFonts w:hint="eastAsia" w:ascii="仿宋_GB2312" w:hAnsi="Times New Roman" w:eastAsia="仿宋_GB2312" w:cs="Times New Roman"/>
          <w:kern w:val="0"/>
          <w:sz w:val="31"/>
          <w:szCs w:val="31"/>
          <w:lang w:val="en-US" w:eastAsia="zh-CN" w:bidi="ar"/>
        </w:rPr>
        <w:t>潘行星</w:t>
      </w:r>
      <w:r>
        <w:rPr>
          <w:rFonts w:hint="eastAsia" w:ascii="仿宋_GB2312" w:hAnsi="Times New Roman" w:cs="Times New Roman"/>
          <w:kern w:val="0"/>
          <w:sz w:val="31"/>
          <w:szCs w:val="31"/>
          <w:lang w:val="en-US" w:eastAsia="zh-CN" w:bidi="ar"/>
        </w:rPr>
        <w:t xml:space="preserve">      </w:t>
      </w:r>
      <w:r>
        <w:rPr>
          <w:rFonts w:hint="eastAsia" w:ascii="仿宋_GB2312" w:hAnsi="Calibri" w:eastAsia="仿宋_GB2312" w:cs="Times New Roman"/>
          <w:spacing w:val="-11"/>
          <w:kern w:val="0"/>
          <w:sz w:val="31"/>
          <w:szCs w:val="31"/>
          <w:lang w:val="en-US" w:eastAsia="zh-CN" w:bidi="ar"/>
        </w:rPr>
        <w:t>福建省纤维检验中心</w:t>
      </w:r>
    </w:p>
    <w:p w14:paraId="0FD24386">
      <w:pPr>
        <w:keepNext w:val="0"/>
        <w:keepLines w:val="0"/>
        <w:pageBreakBefore w:val="0"/>
        <w:widowControl w:val="0"/>
        <w:kinsoku/>
        <w:wordWrap/>
        <w:overflowPunct/>
        <w:topLinePunct w:val="0"/>
        <w:autoSpaceDE/>
        <w:autoSpaceDN/>
        <w:bidi w:val="0"/>
        <w:adjustRightInd/>
        <w:snapToGrid/>
        <w:spacing w:line="600" w:lineRule="exact"/>
        <w:ind w:left="614" w:leftChars="192" w:firstLine="0" w:firstLineChars="0"/>
        <w:textAlignment w:val="auto"/>
        <w:outlineLvl w:val="9"/>
        <w:rPr>
          <w:rFonts w:hint="eastAsia" w:ascii="仿宋_GB2312" w:hAnsi="Calibri" w:eastAsia="仿宋_GB2312" w:cs="Times New Roman"/>
          <w:spacing w:val="-6"/>
          <w:kern w:val="0"/>
          <w:sz w:val="31"/>
          <w:szCs w:val="31"/>
          <w:lang w:val="en-US" w:eastAsia="zh-CN" w:bidi="ar"/>
        </w:rPr>
      </w:pPr>
      <w:r>
        <w:rPr>
          <w:rFonts w:hint="eastAsia" w:ascii="仿宋_GB2312" w:hAnsi="Calibri" w:eastAsia="仿宋_GB2312" w:cs="Times New Roman"/>
          <w:kern w:val="0"/>
          <w:sz w:val="31"/>
          <w:szCs w:val="31"/>
          <w:lang w:val="en-US" w:eastAsia="zh-CN" w:bidi="ar"/>
        </w:rPr>
        <w:t>陈晓丹</w:t>
      </w:r>
      <w:r>
        <w:rPr>
          <w:rFonts w:hint="eastAsia" w:ascii="仿宋_GB2312" w:hAnsi="Times New Roman" w:cs="Times New Roman"/>
          <w:kern w:val="0"/>
          <w:sz w:val="31"/>
          <w:szCs w:val="31"/>
          <w:lang w:val="en-US" w:eastAsia="zh-CN" w:bidi="ar"/>
        </w:rPr>
        <w:t>（女）</w:t>
      </w:r>
      <w:r>
        <w:rPr>
          <w:rFonts w:hint="eastAsia" w:ascii="仿宋_GB2312" w:hAnsi="Calibri" w:eastAsia="仿宋_GB2312" w:cs="Times New Roman"/>
          <w:spacing w:val="-11"/>
          <w:kern w:val="0"/>
          <w:sz w:val="31"/>
          <w:szCs w:val="31"/>
          <w:lang w:val="en-US" w:eastAsia="zh-CN" w:bidi="ar"/>
        </w:rPr>
        <w:t>福建省</w:t>
      </w:r>
      <w:r>
        <w:rPr>
          <w:rFonts w:hint="eastAsia" w:ascii="仿宋_GB2312" w:hAnsi="Calibri" w:eastAsia="仿宋_GB2312" w:cs="Times New Roman"/>
          <w:spacing w:val="-6"/>
          <w:kern w:val="0"/>
          <w:sz w:val="31"/>
          <w:szCs w:val="31"/>
          <w:lang w:val="en-US" w:eastAsia="zh-CN" w:bidi="ar"/>
        </w:rPr>
        <w:t>泉州市市场监督管理局政策法规科</w:t>
      </w:r>
    </w:p>
    <w:p w14:paraId="675EFCE5">
      <w:pPr>
        <w:keepNext w:val="0"/>
        <w:keepLines w:val="0"/>
        <w:pageBreakBefore w:val="0"/>
        <w:widowControl w:val="0"/>
        <w:kinsoku/>
        <w:wordWrap/>
        <w:overflowPunct/>
        <w:topLinePunct w:val="0"/>
        <w:autoSpaceDE/>
        <w:autoSpaceDN/>
        <w:bidi w:val="0"/>
        <w:adjustRightInd/>
        <w:snapToGrid/>
        <w:spacing w:line="600" w:lineRule="exact"/>
        <w:ind w:left="614" w:leftChars="192" w:firstLine="0" w:firstLineChars="0"/>
        <w:textAlignment w:val="auto"/>
        <w:outlineLvl w:val="9"/>
        <w:rPr>
          <w:rFonts w:hint="eastAsia" w:ascii="仿宋_GB2312" w:hAnsi="Times New Roman" w:eastAsia="仿宋_GB2312" w:cs="Times New Roman"/>
          <w:w w:val="90"/>
          <w:kern w:val="0"/>
          <w:sz w:val="31"/>
          <w:szCs w:val="31"/>
          <w:lang w:val="en-US" w:eastAsia="zh-CN" w:bidi="ar"/>
        </w:rPr>
      </w:pPr>
      <w:r>
        <w:rPr>
          <w:rFonts w:hint="eastAsia" w:ascii="仿宋_GB2312" w:hAnsi="Times New Roman" w:eastAsia="仿宋_GB2312" w:cs="Times New Roman"/>
          <w:kern w:val="0"/>
          <w:sz w:val="31"/>
          <w:szCs w:val="31"/>
          <w:lang w:val="en-US" w:eastAsia="zh-CN" w:bidi="ar"/>
        </w:rPr>
        <w:t>童</w:t>
      </w:r>
      <w:r>
        <w:rPr>
          <w:rFonts w:hint="eastAsia" w:ascii="仿宋_GB2312" w:hAnsi="Times New Roman" w:cs="Times New Roman"/>
          <w:kern w:val="0"/>
          <w:sz w:val="31"/>
          <w:szCs w:val="31"/>
          <w:lang w:val="en-US" w:eastAsia="zh-CN" w:bidi="ar"/>
        </w:rPr>
        <w:t xml:space="preserve">  </w:t>
      </w:r>
      <w:r>
        <w:rPr>
          <w:rFonts w:hint="eastAsia" w:ascii="仿宋_GB2312" w:hAnsi="Times New Roman" w:eastAsia="仿宋_GB2312" w:cs="Times New Roman"/>
          <w:kern w:val="0"/>
          <w:sz w:val="31"/>
          <w:szCs w:val="31"/>
          <w:lang w:val="en-US" w:eastAsia="zh-CN" w:bidi="ar"/>
        </w:rPr>
        <w:t>斐</w:t>
      </w:r>
      <w:r>
        <w:rPr>
          <w:rFonts w:hint="eastAsia" w:ascii="仿宋_GB2312" w:hAnsi="Times New Roman" w:cs="Times New Roman"/>
          <w:kern w:val="0"/>
          <w:sz w:val="31"/>
          <w:szCs w:val="31"/>
          <w:lang w:val="en-US" w:eastAsia="zh-CN" w:bidi="ar"/>
        </w:rPr>
        <w:t>（女）</w:t>
      </w:r>
      <w:r>
        <w:rPr>
          <w:rFonts w:hint="eastAsia" w:ascii="仿宋_GB2312" w:hAnsi="Calibri" w:eastAsia="仿宋_GB2312" w:cs="Times New Roman"/>
          <w:spacing w:val="-11"/>
          <w:w w:val="90"/>
          <w:kern w:val="0"/>
          <w:sz w:val="31"/>
          <w:szCs w:val="31"/>
          <w:lang w:val="en-US" w:eastAsia="zh-CN" w:bidi="ar"/>
        </w:rPr>
        <w:t>福建省</w:t>
      </w:r>
      <w:r>
        <w:rPr>
          <w:rFonts w:hint="eastAsia" w:ascii="仿宋_GB2312" w:hAnsi="Times New Roman" w:eastAsia="仿宋_GB2312" w:cs="Times New Roman"/>
          <w:w w:val="90"/>
          <w:kern w:val="0"/>
          <w:sz w:val="31"/>
          <w:szCs w:val="31"/>
          <w:lang w:val="en-US" w:eastAsia="zh-CN" w:bidi="ar"/>
        </w:rPr>
        <w:t>厦门市市场监管综合执法支队稽查四科</w:t>
      </w:r>
      <w:r>
        <w:rPr>
          <w:rFonts w:hint="eastAsia" w:ascii="仿宋_GB2312" w:hAnsi="Times New Roman" w:cs="Times New Roman"/>
          <w:w w:val="90"/>
          <w:kern w:val="0"/>
          <w:sz w:val="31"/>
          <w:szCs w:val="31"/>
          <w:lang w:val="en-US" w:eastAsia="zh-CN" w:bidi="ar"/>
        </w:rPr>
        <w:t>（备选）</w:t>
      </w:r>
    </w:p>
    <w:p w14:paraId="4F00295F">
      <w:pPr>
        <w:pageBreakBefore w:val="0"/>
        <w:kinsoku/>
        <w:wordWrap/>
        <w:overflowPunct/>
        <w:topLinePunct w:val="0"/>
        <w:bidi w:val="0"/>
        <w:spacing w:line="540" w:lineRule="exact"/>
        <w:textAlignment w:val="top"/>
        <w:rPr>
          <w:rFonts w:hint="eastAsia" w:ascii="Times New Roman" w:hAnsi="Times New Roman" w:cs="Times New Roman"/>
        </w:rPr>
      </w:pPr>
    </w:p>
    <w:p w14:paraId="69293585">
      <w:pPr>
        <w:pageBreakBefore w:val="0"/>
        <w:kinsoku/>
        <w:wordWrap/>
        <w:overflowPunct/>
        <w:topLinePunct w:val="0"/>
        <w:bidi w:val="0"/>
        <w:spacing w:line="540" w:lineRule="exact"/>
        <w:textAlignment w:val="top"/>
        <w:rPr>
          <w:rFonts w:hint="eastAsia" w:ascii="Times New Roman" w:hAnsi="Times New Roman" w:cs="Times New Roman"/>
        </w:rPr>
      </w:pPr>
    </w:p>
    <w:p w14:paraId="5360C04C">
      <w:pPr>
        <w:pStyle w:val="11"/>
        <w:rPr>
          <w:rFonts w:hint="eastAsia" w:ascii="Times New Roman" w:hAnsi="Times New Roman" w:cs="Times New Roman"/>
        </w:rPr>
      </w:pPr>
    </w:p>
    <w:p w14:paraId="253A95BE">
      <w:pPr>
        <w:pStyle w:val="11"/>
        <w:rPr>
          <w:rFonts w:hint="eastAsia" w:ascii="Times New Roman" w:hAnsi="Times New Roman" w:cs="Times New Roman"/>
        </w:rPr>
      </w:pPr>
    </w:p>
    <w:p w14:paraId="4860D097">
      <w:pPr>
        <w:pStyle w:val="11"/>
        <w:rPr>
          <w:rFonts w:hint="eastAsia" w:ascii="Times New Roman" w:hAnsi="Times New Roman" w:cs="Times New Roman"/>
        </w:rPr>
      </w:pPr>
    </w:p>
    <w:p w14:paraId="2018B1CA">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方正小标宋简体" w:hAnsi="方正小标宋简体" w:eastAsia="方正小标宋简体" w:cs="方正小标宋简体"/>
          <w:kern w:val="2"/>
          <w:sz w:val="44"/>
          <w:szCs w:val="44"/>
          <w:lang w:val="en-US" w:eastAsia="zh-CN" w:bidi="ar-SA"/>
        </w:rPr>
      </w:pPr>
    </w:p>
    <w:p w14:paraId="03CD1DDF">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方正小标宋简体" w:hAnsi="方正小标宋简体" w:eastAsia="方正小标宋简体" w:cs="方正小标宋简体"/>
          <w:kern w:val="2"/>
          <w:sz w:val="44"/>
          <w:szCs w:val="44"/>
          <w:lang w:val="en-US" w:eastAsia="zh-CN" w:bidi="ar-SA"/>
        </w:rPr>
      </w:pPr>
    </w:p>
    <w:p w14:paraId="343DB0BE">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eastAsia" w:ascii="方正小标宋简体" w:hAnsi="方正小标宋简体" w:eastAsia="方正小标宋简体" w:cs="方正小标宋简体"/>
          <w:kern w:val="2"/>
          <w:sz w:val="44"/>
          <w:szCs w:val="44"/>
          <w:lang w:val="en-US" w:eastAsia="zh-CN" w:bidi="ar-SA"/>
        </w:rPr>
      </w:pPr>
      <w:r>
        <w:rPr>
          <w:rFonts w:hint="eastAsia" w:ascii="方正小标宋简体" w:hAnsi="方正小标宋简体" w:eastAsia="方正小标宋简体" w:cs="方正小标宋简体"/>
          <w:kern w:val="2"/>
          <w:sz w:val="44"/>
          <w:szCs w:val="44"/>
          <w:lang w:val="en-US" w:eastAsia="zh-CN" w:bidi="ar-SA"/>
        </w:rPr>
        <w:t>全国市场监管系统先进集体和</w:t>
      </w:r>
    </w:p>
    <w:p w14:paraId="05494229">
      <w:pPr>
        <w:spacing w:line="540" w:lineRule="exact"/>
        <w:jc w:val="center"/>
        <w:rPr>
          <w:rFonts w:hint="eastAsia" w:ascii="方正小标宋简体" w:hAnsi="Calibri" w:eastAsia="方正小标宋简体" w:cs="Times New Roman"/>
          <w:sz w:val="44"/>
          <w:szCs w:val="44"/>
          <w:lang w:eastAsia="zh-CN"/>
        </w:rPr>
      </w:pPr>
      <w:r>
        <w:rPr>
          <w:rFonts w:hint="eastAsia" w:ascii="方正小标宋简体" w:hAnsi="方正小标宋简体" w:eastAsia="方正小标宋简体" w:cs="方正小标宋简体"/>
          <w:kern w:val="2"/>
          <w:sz w:val="44"/>
          <w:szCs w:val="44"/>
          <w:lang w:val="en-US" w:eastAsia="zh-CN" w:bidi="ar-SA"/>
        </w:rPr>
        <w:t>先进工作者</w:t>
      </w:r>
      <w:r>
        <w:rPr>
          <w:rFonts w:hint="eastAsia" w:ascii="方正小标宋简体" w:hAnsi="Calibri" w:eastAsia="方正小标宋简体" w:cs="Times New Roman"/>
          <w:sz w:val="44"/>
          <w:szCs w:val="44"/>
          <w:lang w:eastAsia="zh-CN"/>
        </w:rPr>
        <w:t>主要事迹</w:t>
      </w:r>
    </w:p>
    <w:p w14:paraId="44498F04">
      <w:pPr>
        <w:spacing w:line="560" w:lineRule="exact"/>
        <w:jc w:val="center"/>
        <w:rPr>
          <w:rFonts w:hint="eastAsia" w:ascii="方正小标宋简体" w:hAnsi="Calibri" w:eastAsia="方正小标宋简体" w:cs="Times New Roman"/>
          <w:sz w:val="44"/>
          <w:szCs w:val="44"/>
          <w:lang w:val="en-US" w:eastAsia="zh-CN"/>
        </w:rPr>
      </w:pPr>
    </w:p>
    <w:p w14:paraId="6E9FED31">
      <w:pPr>
        <w:spacing w:line="600" w:lineRule="exact"/>
        <w:ind w:firstLine="640" w:firstLineChars="200"/>
        <w:jc w:val="both"/>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一、全国市场监管系统先进集体</w:t>
      </w:r>
    </w:p>
    <w:p w14:paraId="48D1A2DF">
      <w:pPr>
        <w:spacing w:line="600" w:lineRule="exact"/>
        <w:ind w:firstLine="643" w:firstLineChars="200"/>
        <w:jc w:val="both"/>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val="en-US" w:eastAsia="zh-CN"/>
        </w:rPr>
        <w:t>1.</w:t>
      </w:r>
      <w:r>
        <w:rPr>
          <w:rFonts w:hint="eastAsia" w:ascii="楷体_GB2312" w:hAnsi="楷体_GB2312" w:eastAsia="楷体_GB2312" w:cs="楷体_GB2312"/>
          <w:b/>
          <w:bCs/>
          <w:sz w:val="32"/>
          <w:szCs w:val="32"/>
          <w:lang w:eastAsia="zh-CN"/>
        </w:rPr>
        <w:t>福建省市场监管局特种设备安全监察处</w:t>
      </w:r>
    </w:p>
    <w:p w14:paraId="66CD40C7">
      <w:pPr>
        <w:spacing w:line="600" w:lineRule="exact"/>
        <w:ind w:firstLine="640" w:firstLineChars="200"/>
        <w:rPr>
          <w:rFonts w:hint="eastAsia" w:ascii="仿宋_GB2312" w:hAnsi="仿宋_GB2312" w:eastAsia="仿宋_GB2312" w:cs="仿宋_GB2312"/>
          <w:b w:val="0"/>
          <w:bCs w:val="0"/>
          <w:sz w:val="32"/>
          <w:szCs w:val="32"/>
        </w:rPr>
      </w:pPr>
      <w:r>
        <w:rPr>
          <w:rFonts w:hint="eastAsia" w:ascii="仿宋_GB2312" w:hAnsi="Calibri" w:cs="Times New Roman"/>
          <w:b w:val="0"/>
          <w:bCs w:val="0"/>
          <w:sz w:val="32"/>
          <w:szCs w:val="32"/>
          <w:lang w:eastAsia="zh-CN"/>
        </w:rPr>
        <w:t>该处</w:t>
      </w:r>
      <w:r>
        <w:rPr>
          <w:rFonts w:hint="eastAsia" w:ascii="仿宋_GB2312" w:hAnsi="Calibri" w:eastAsia="仿宋_GB2312" w:cs="Times New Roman"/>
          <w:b w:val="0"/>
          <w:bCs w:val="0"/>
          <w:sz w:val="32"/>
          <w:szCs w:val="32"/>
        </w:rPr>
        <w:t>坚持以习近平新时代中国特色社会主义思想为指导，认真贯彻落实</w:t>
      </w:r>
      <w:r>
        <w:rPr>
          <w:rFonts w:hint="eastAsia" w:ascii="仿宋_GB2312" w:hAnsi="Calibri" w:cs="Times New Roman"/>
          <w:b w:val="0"/>
          <w:bCs w:val="0"/>
          <w:sz w:val="32"/>
          <w:szCs w:val="32"/>
          <w:lang w:eastAsia="zh-CN"/>
        </w:rPr>
        <w:t>党中央、国务院决策部署和</w:t>
      </w:r>
      <w:r>
        <w:rPr>
          <w:rFonts w:hint="eastAsia" w:ascii="仿宋_GB2312" w:hAnsi="仿宋_GB2312" w:eastAsia="仿宋_GB2312" w:cs="仿宋_GB2312"/>
          <w:b w:val="0"/>
          <w:bCs w:val="0"/>
          <w:sz w:val="32"/>
          <w:szCs w:val="32"/>
        </w:rPr>
        <w:t>省委</w:t>
      </w:r>
      <w:r>
        <w:rPr>
          <w:rFonts w:hint="eastAsia" w:ascii="仿宋_GB2312" w:hAnsi="仿宋_GB2312" w:cs="仿宋_GB2312"/>
          <w:b w:val="0"/>
          <w:bCs w:val="0"/>
          <w:sz w:val="32"/>
          <w:szCs w:val="32"/>
          <w:lang w:eastAsia="zh-CN"/>
        </w:rPr>
        <w:t>、</w:t>
      </w:r>
      <w:r>
        <w:rPr>
          <w:rFonts w:hint="eastAsia" w:ascii="仿宋_GB2312" w:hAnsi="仿宋_GB2312" w:eastAsia="仿宋_GB2312" w:cs="仿宋_GB2312"/>
          <w:b w:val="0"/>
          <w:bCs w:val="0"/>
          <w:sz w:val="32"/>
          <w:szCs w:val="32"/>
        </w:rPr>
        <w:t>省政府</w:t>
      </w:r>
      <w:r>
        <w:rPr>
          <w:rFonts w:hint="eastAsia" w:ascii="仿宋_GB2312" w:hAnsi="仿宋_GB2312" w:cs="仿宋_GB2312"/>
          <w:b w:val="0"/>
          <w:bCs w:val="0"/>
          <w:sz w:val="32"/>
          <w:szCs w:val="32"/>
          <w:lang w:eastAsia="zh-CN"/>
        </w:rPr>
        <w:t>、</w:t>
      </w:r>
      <w:r>
        <w:rPr>
          <w:rFonts w:hint="eastAsia" w:ascii="仿宋_GB2312" w:hAnsi="Calibri" w:eastAsia="仿宋_GB2312" w:cs="Times New Roman"/>
          <w:b w:val="0"/>
          <w:bCs w:val="0"/>
          <w:sz w:val="32"/>
          <w:szCs w:val="32"/>
        </w:rPr>
        <w:t>市场监管总局</w:t>
      </w:r>
      <w:r>
        <w:rPr>
          <w:rFonts w:hint="eastAsia" w:ascii="仿宋_GB2312" w:hAnsi="仿宋_GB2312" w:cs="仿宋_GB2312"/>
          <w:b w:val="0"/>
          <w:bCs w:val="0"/>
          <w:sz w:val="32"/>
          <w:szCs w:val="32"/>
          <w:lang w:eastAsia="zh-CN"/>
        </w:rPr>
        <w:t>工作要求</w:t>
      </w:r>
      <w:r>
        <w:rPr>
          <w:rFonts w:hint="eastAsia" w:ascii="仿宋_GB2312" w:hAnsi="仿宋_GB2312" w:eastAsia="仿宋_GB2312" w:cs="仿宋_GB2312"/>
          <w:b w:val="0"/>
          <w:bCs w:val="0"/>
          <w:sz w:val="32"/>
          <w:szCs w:val="32"/>
        </w:rPr>
        <w:t>，按照省局党组工作要求，充分运用市场监管“工具箱”，围绕实施“九大工程”，营造“四个市场环境”，建立特种设备安全监管“五个全覆盖”机制和“三书一函”制度，开展治本攻坚三年行动，精准问题靶向，有效管控安全风险，以高水平安全服务高质量发展。2014年特种设备安全法实施以来，福建省未发生重特大特种设备安全事故，万台设备死亡率持续低于全国平均水平；压力管道安全监管经验做法入选全国安全生产专项整治三年行动地方典型经验做法汇编；锅炉安全节能环保监管做法在总局绿色低碳高质量发展工作推进会上作经验交流；全国人大常委会特种设备安全执法检查组来闽检查指导，肖捷副委员长对福建特种设备安全工作成效给予充分肯定，《人民日报》等主要媒体予以报道；中央质量督察考核实地督查组来闽督查，对我省市场监管系统城镇燃气安全专项整治工作成效给予高度评价。福建省局连续第六年被福建省政府授予“完成安全生产目标责任优秀单位”称号，特种设备安全监察处2024年被福建省总工会授予“五一先锋号”称号。</w:t>
      </w:r>
    </w:p>
    <w:p w14:paraId="21A34A45">
      <w:pPr>
        <w:spacing w:line="600" w:lineRule="exact"/>
        <w:ind w:firstLine="640" w:firstLineChars="200"/>
        <w:rPr>
          <w:rFonts w:hint="eastAsia" w:ascii="仿宋_GB2312" w:hAnsi="仿宋_GB2312" w:eastAsia="仿宋_GB2312" w:cs="仿宋_GB2312"/>
          <w:b w:val="0"/>
          <w:bCs w:val="0"/>
          <w:sz w:val="32"/>
          <w:szCs w:val="32"/>
        </w:rPr>
      </w:pPr>
    </w:p>
    <w:p w14:paraId="001A82B5">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outlineLvl w:val="9"/>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val="en-US" w:eastAsia="zh-CN"/>
        </w:rPr>
        <w:t>2.福建省</w:t>
      </w:r>
      <w:r>
        <w:rPr>
          <w:rFonts w:hint="eastAsia" w:ascii="楷体_GB2312" w:hAnsi="楷体_GB2312" w:eastAsia="楷体_GB2312" w:cs="楷体_GB2312"/>
          <w:b/>
          <w:bCs/>
          <w:sz w:val="32"/>
          <w:szCs w:val="32"/>
          <w:lang w:eastAsia="zh-CN"/>
        </w:rPr>
        <w:t>福州市鼓楼区鼓东市场监督管理所</w:t>
      </w:r>
    </w:p>
    <w:p w14:paraId="6A970DA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cs="仿宋_GB2312"/>
          <w:sz w:val="32"/>
          <w:szCs w:val="32"/>
          <w:lang w:eastAsia="zh-CN"/>
        </w:rPr>
        <w:t>该</w:t>
      </w:r>
      <w:r>
        <w:rPr>
          <w:rFonts w:hint="eastAsia" w:ascii="仿宋_GB2312" w:hAnsi="仿宋_GB2312" w:eastAsia="仿宋_GB2312" w:cs="仿宋_GB2312"/>
          <w:sz w:val="32"/>
          <w:szCs w:val="32"/>
        </w:rPr>
        <w:t>所始终牢固树立为人民服务的宗旨意识，认真履职尽责，开拓创新，服务发展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为辖区做了积极贡献，彰显了基层所的良好形象。坚持以党建为引领，按照中央深入推进“放管服”改革、加快职能转变的总体要求，全力推进各项工作，一方面强化服务意识服务地方经济，另一方面提升监管技能加大监管执法力度</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深化“点题整治”</w:t>
      </w:r>
      <w:r>
        <w:rPr>
          <w:rFonts w:hint="eastAsia" w:ascii="仿宋_GB2312" w:hAnsi="仿宋_GB2312" w:eastAsia="仿宋_GB2312" w:cs="仿宋_GB2312"/>
          <w:sz w:val="32"/>
          <w:szCs w:val="32"/>
          <w:lang w:val="en-US" w:eastAsia="zh-CN"/>
        </w:rPr>
        <w:t>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19年至今共立案126件，罚没入库81.14万元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其中，2件获评省级优秀典型案例，2件获评市级优秀典型案例</w:t>
      </w:r>
      <w:r>
        <w:rPr>
          <w:rFonts w:hint="eastAsia" w:ascii="仿宋_GB2312" w:hAnsi="仿宋_GB2312" w:eastAsia="仿宋_GB2312" w:cs="仿宋_GB2312"/>
          <w:sz w:val="32"/>
          <w:szCs w:val="32"/>
        </w:rPr>
        <w:t>。强化消费维权建设，受理鼓楼</w:t>
      </w:r>
      <w:r>
        <w:rPr>
          <w:rFonts w:hint="eastAsia" w:ascii="仿宋_GB2312" w:hAnsi="仿宋_GB2312" w:eastAsia="仿宋_GB2312" w:cs="仿宋_GB2312"/>
          <w:sz w:val="32"/>
          <w:szCs w:val="32"/>
          <w:lang w:val="en-US" w:eastAsia="zh-CN"/>
        </w:rPr>
        <w:t>区各类</w:t>
      </w:r>
      <w:r>
        <w:rPr>
          <w:rFonts w:hint="eastAsia" w:ascii="仿宋_GB2312" w:hAnsi="仿宋_GB2312" w:eastAsia="仿宋_GB2312" w:cs="仿宋_GB2312"/>
          <w:sz w:val="32"/>
          <w:szCs w:val="32"/>
        </w:rPr>
        <w:t>投诉举报件共计11193件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投诉按时初查率、办结率、举报按时核查率达100%。</w:t>
      </w:r>
      <w:r>
        <w:rPr>
          <w:rFonts w:hint="eastAsia" w:ascii="仿宋_GB2312" w:hAnsi="仿宋_GB2312" w:eastAsia="仿宋_GB2312" w:cs="仿宋_GB2312"/>
          <w:sz w:val="32"/>
          <w:szCs w:val="32"/>
          <w:lang w:val="en-US" w:eastAsia="zh-CN"/>
        </w:rPr>
        <w:t>优化营商环境</w:t>
      </w:r>
      <w:r>
        <w:rPr>
          <w:rFonts w:hint="eastAsia" w:ascii="仿宋_GB2312" w:hAnsi="仿宋_GB2312" w:eastAsia="仿宋_GB2312" w:cs="仿宋_GB2312"/>
          <w:color w:val="000000"/>
          <w:spacing w:val="7"/>
          <w:sz w:val="32"/>
          <w:szCs w:val="32"/>
        </w:rPr>
        <w:t>，</w:t>
      </w:r>
      <w:r>
        <w:rPr>
          <w:rFonts w:hint="eastAsia" w:ascii="仿宋_GB2312" w:hAnsi="仿宋_GB2312" w:eastAsia="仿宋_GB2312" w:cs="仿宋_GB2312"/>
          <w:color w:val="000000"/>
          <w:spacing w:val="7"/>
          <w:sz w:val="32"/>
          <w:szCs w:val="32"/>
          <w:lang w:val="en-US" w:eastAsia="zh-CN"/>
        </w:rPr>
        <w:t>辖区市场主体1.6万余户，</w:t>
      </w:r>
      <w:r>
        <w:rPr>
          <w:rFonts w:hint="eastAsia" w:ascii="仿宋_GB2312" w:hAnsi="仿宋_GB2312" w:eastAsia="仿宋_GB2312" w:cs="仿宋_GB2312"/>
          <w:color w:val="000000"/>
          <w:spacing w:val="7"/>
          <w:sz w:val="32"/>
          <w:szCs w:val="32"/>
        </w:rPr>
        <w:t>配合完成招商</w:t>
      </w:r>
      <w:r>
        <w:rPr>
          <w:rFonts w:hint="eastAsia" w:ascii="仿宋_GB2312" w:hAnsi="仿宋_GB2312" w:eastAsia="仿宋_GB2312" w:cs="仿宋_GB2312"/>
          <w:sz w:val="32"/>
          <w:szCs w:val="32"/>
        </w:rPr>
        <w:t>招商引资落地项目93</w:t>
      </w:r>
      <w:r>
        <w:rPr>
          <w:rFonts w:hint="eastAsia" w:ascii="仿宋_GB2312" w:hAnsi="仿宋_GB2312" w:eastAsia="仿宋_GB2312" w:cs="仿宋_GB2312"/>
          <w:color w:val="000000"/>
          <w:spacing w:val="7"/>
          <w:sz w:val="32"/>
          <w:szCs w:val="32"/>
        </w:rPr>
        <w:t>项，总投资1304.07亿元。</w:t>
      </w:r>
      <w:r>
        <w:rPr>
          <w:rFonts w:hint="eastAsia" w:ascii="仿宋_GB2312" w:hAnsi="仿宋_GB2312" w:cs="仿宋_GB2312"/>
          <w:color w:val="000000"/>
          <w:spacing w:val="7"/>
          <w:sz w:val="32"/>
          <w:szCs w:val="32"/>
          <w:lang w:eastAsia="zh-CN"/>
        </w:rPr>
        <w:t>近年来因工作突出先后</w:t>
      </w:r>
      <w:r>
        <w:rPr>
          <w:rFonts w:hint="eastAsia" w:ascii="仿宋_GB2312" w:hAnsi="仿宋_GB2312" w:eastAsia="仿宋_GB2312" w:cs="仿宋_GB2312"/>
          <w:sz w:val="32"/>
          <w:szCs w:val="32"/>
        </w:rPr>
        <w:t>获</w:t>
      </w:r>
      <w:r>
        <w:rPr>
          <w:rFonts w:hint="eastAsia" w:ascii="仿宋_GB2312" w:hAnsi="仿宋_GB2312" w:eastAsia="仿宋_GB2312" w:cs="仿宋_GB2312"/>
          <w:sz w:val="32"/>
          <w:szCs w:val="32"/>
          <w:lang w:val="en-US" w:eastAsia="zh-CN"/>
        </w:rPr>
        <w:t>评</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全省市场监管系统先进集体</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区直机关</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三星</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党支部</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，“区直机关先进基层党组织”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福州市知识产权行政保护先进所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等荣誉，获赠“全心全意为人民服务”等锦旗10余面</w:t>
      </w:r>
      <w:r>
        <w:rPr>
          <w:rFonts w:hint="eastAsia" w:ascii="仿宋_GB2312" w:hAnsi="仿宋_GB2312" w:eastAsia="仿宋_GB2312" w:cs="仿宋_GB2312"/>
          <w:sz w:val="32"/>
          <w:szCs w:val="32"/>
        </w:rPr>
        <w:t>。</w:t>
      </w:r>
    </w:p>
    <w:p w14:paraId="26C07FCC">
      <w:pPr>
        <w:keepNext w:val="0"/>
        <w:keepLines w:val="0"/>
        <w:pageBreakBefore w:val="0"/>
        <w:widowControl w:val="0"/>
        <w:kinsoku/>
        <w:wordWrap/>
        <w:autoSpaceDE/>
        <w:autoSpaceDN/>
        <w:bidi w:val="0"/>
        <w:adjustRightInd/>
        <w:snapToGrid/>
        <w:spacing w:line="600" w:lineRule="exact"/>
        <w:jc w:val="both"/>
        <w:textAlignment w:val="auto"/>
        <w:outlineLvl w:val="9"/>
        <w:rPr>
          <w:rFonts w:hint="eastAsia" w:ascii="仿宋_GB2312" w:hAnsi="仿宋_GB2312" w:cs="仿宋_GB2312"/>
          <w:snapToGrid w:val="0"/>
          <w:spacing w:val="-2"/>
          <w:kern w:val="0"/>
          <w:sz w:val="32"/>
          <w:szCs w:val="32"/>
          <w:lang w:val="en-US" w:eastAsia="zh-CN"/>
        </w:rPr>
      </w:pPr>
    </w:p>
    <w:p w14:paraId="4B4378B1">
      <w:pPr>
        <w:keepNext w:val="0"/>
        <w:keepLines w:val="0"/>
        <w:pageBreakBefore w:val="0"/>
        <w:widowControl w:val="0"/>
        <w:kinsoku/>
        <w:wordWrap/>
        <w:autoSpaceDE/>
        <w:autoSpaceDN/>
        <w:bidi w:val="0"/>
        <w:adjustRightInd/>
        <w:snapToGrid/>
        <w:spacing w:line="600" w:lineRule="exact"/>
        <w:ind w:firstLine="635" w:firstLineChars="200"/>
        <w:jc w:val="both"/>
        <w:textAlignment w:val="auto"/>
        <w:outlineLvl w:val="9"/>
        <w:rPr>
          <w:rFonts w:hint="eastAsia" w:ascii="楷体_GB2312" w:hAnsi="楷体_GB2312" w:eastAsia="楷体_GB2312" w:cs="楷体_GB2312"/>
          <w:b/>
          <w:bCs/>
          <w:snapToGrid w:val="0"/>
          <w:spacing w:val="-2"/>
          <w:kern w:val="0"/>
          <w:sz w:val="32"/>
          <w:szCs w:val="32"/>
          <w:lang w:eastAsia="zh-CN"/>
        </w:rPr>
      </w:pPr>
      <w:r>
        <w:rPr>
          <w:rFonts w:hint="eastAsia" w:ascii="楷体_GB2312" w:hAnsi="楷体_GB2312" w:eastAsia="楷体_GB2312" w:cs="楷体_GB2312"/>
          <w:b/>
          <w:bCs/>
          <w:snapToGrid w:val="0"/>
          <w:spacing w:val="-2"/>
          <w:kern w:val="0"/>
          <w:sz w:val="32"/>
          <w:szCs w:val="32"/>
          <w:lang w:val="en-US" w:eastAsia="zh-CN"/>
        </w:rPr>
        <w:t>3.福建省</w:t>
      </w:r>
      <w:r>
        <w:rPr>
          <w:rFonts w:hint="eastAsia" w:ascii="楷体_GB2312" w:hAnsi="楷体_GB2312" w:eastAsia="楷体_GB2312" w:cs="楷体_GB2312"/>
          <w:b/>
          <w:bCs/>
          <w:snapToGrid w:val="0"/>
          <w:spacing w:val="-2"/>
          <w:kern w:val="0"/>
          <w:sz w:val="32"/>
          <w:szCs w:val="32"/>
          <w:lang w:eastAsia="zh-CN"/>
        </w:rPr>
        <w:t>厦门市思明区市场监督管理局莲前市场监督管理所</w:t>
      </w:r>
    </w:p>
    <w:p w14:paraId="531EF290">
      <w:pPr>
        <w:keepNext w:val="0"/>
        <w:keepLines w:val="0"/>
        <w:pageBreakBefore w:val="0"/>
        <w:widowControl w:val="0"/>
        <w:kinsoku/>
        <w:wordWrap/>
        <w:overflowPunct w:val="0"/>
        <w:topLinePunct/>
        <w:autoSpaceDE/>
        <w:autoSpaceDN/>
        <w:bidi w:val="0"/>
        <w:adjustRightInd/>
        <w:snapToGrid/>
        <w:spacing w:line="600" w:lineRule="exact"/>
        <w:ind w:firstLine="640" w:firstLineChars="200"/>
        <w:textAlignment w:val="auto"/>
        <w:outlineLvl w:val="9"/>
        <w:rPr>
          <w:rFonts w:hint="eastAsia" w:ascii="仿宋_GB2312" w:hAnsi="仿宋_GB2312" w:eastAsia="仿宋_GB2312" w:cs="仿宋_GB2312"/>
          <w:snapToGrid w:val="0"/>
          <w:spacing w:val="-2"/>
          <w:kern w:val="0"/>
          <w:sz w:val="32"/>
          <w:szCs w:val="32"/>
        </w:rPr>
      </w:pPr>
      <w:r>
        <w:rPr>
          <w:rFonts w:hint="eastAsia" w:ascii="仿宋_GB2312" w:hAnsi="仿宋_GB2312" w:eastAsia="仿宋_GB2312" w:cs="仿宋_GB2312"/>
          <w:sz w:val="32"/>
          <w:szCs w:val="32"/>
        </w:rPr>
        <w:t>该所始终</w:t>
      </w:r>
      <w:r>
        <w:rPr>
          <w:rFonts w:hint="eastAsia" w:ascii="仿宋_GB2312" w:hAnsi="仿宋_GB2312" w:eastAsia="仿宋_GB2312" w:cs="仿宋_GB2312"/>
          <w:sz w:val="32"/>
          <w:szCs w:val="32"/>
          <w:lang w:eastAsia="zh-CN"/>
        </w:rPr>
        <w:t>坚持以习近平新时代中国特色社会主义思想为指导</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以勇立潮头、勇当标杆为己任，以市场监管所标准化规范化建设为抓手，以创建</w:t>
      </w:r>
      <w:r>
        <w:rPr>
          <w:rFonts w:hint="eastAsia" w:ascii="仿宋_GB2312" w:hAnsi="仿宋_GB2312" w:eastAsia="仿宋_GB2312" w:cs="仿宋_GB2312"/>
          <w:sz w:val="32"/>
          <w:szCs w:val="32"/>
          <w:lang w:eastAsia="zh-CN"/>
        </w:rPr>
        <w:t>全国</w:t>
      </w:r>
      <w:r>
        <w:rPr>
          <w:rFonts w:hint="eastAsia" w:ascii="仿宋_GB2312" w:hAnsi="仿宋_GB2312" w:eastAsia="仿宋_GB2312" w:cs="仿宋_GB2312"/>
          <w:sz w:val="32"/>
          <w:szCs w:val="32"/>
        </w:rPr>
        <w:t>首批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五星所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为契机，讲政治、强监管、保安全、促发展，不断提升</w:t>
      </w:r>
      <w:r>
        <w:rPr>
          <w:rFonts w:hint="eastAsia" w:ascii="仿宋_GB2312" w:hAnsi="仿宋_GB2312" w:eastAsia="仿宋_GB2312" w:cs="仿宋_GB2312"/>
          <w:sz w:val="32"/>
          <w:szCs w:val="32"/>
          <w:lang w:eastAsia="zh-CN"/>
        </w:rPr>
        <w:t>为民</w:t>
      </w:r>
      <w:r>
        <w:rPr>
          <w:rFonts w:hint="eastAsia" w:ascii="仿宋_GB2312" w:hAnsi="仿宋_GB2312" w:eastAsia="仿宋_GB2312" w:cs="仿宋_GB2312"/>
          <w:sz w:val="32"/>
          <w:szCs w:val="32"/>
        </w:rPr>
        <w:t>服务</w:t>
      </w:r>
      <w:r>
        <w:rPr>
          <w:rFonts w:hint="eastAsia" w:ascii="仿宋_GB2312" w:hAnsi="仿宋_GB2312" w:eastAsia="仿宋_GB2312" w:cs="仿宋_GB2312"/>
          <w:sz w:val="32"/>
          <w:szCs w:val="32"/>
          <w:lang w:val="en-US" w:eastAsia="zh-CN"/>
        </w:rPr>
        <w:t>、为企业服务</w:t>
      </w:r>
      <w:r>
        <w:rPr>
          <w:rFonts w:hint="eastAsia" w:ascii="仿宋_GB2312" w:hAnsi="仿宋_GB2312" w:eastAsia="仿宋_GB2312" w:cs="仿宋_GB2312"/>
          <w:sz w:val="32"/>
          <w:szCs w:val="32"/>
        </w:rPr>
        <w:t>能力水平，高效</w:t>
      </w:r>
      <w:r>
        <w:rPr>
          <w:rFonts w:hint="eastAsia" w:ascii="仿宋_GB2312" w:hAnsi="仿宋_GB2312" w:eastAsia="仿宋_GB2312" w:cs="仿宋_GB2312"/>
          <w:sz w:val="32"/>
          <w:szCs w:val="32"/>
          <w:lang w:eastAsia="zh-CN"/>
        </w:rPr>
        <w:t>完成各项市场监管和服务保障工作，</w:t>
      </w:r>
      <w:r>
        <w:rPr>
          <w:rFonts w:hint="eastAsia" w:ascii="仿宋_GB2312" w:hAnsi="仿宋_GB2312" w:eastAsia="仿宋_GB2312" w:cs="仿宋_GB2312"/>
          <w:sz w:val="32"/>
          <w:szCs w:val="32"/>
        </w:rPr>
        <w:t>助力辖区经济</w:t>
      </w:r>
      <w:r>
        <w:rPr>
          <w:rFonts w:hint="eastAsia" w:ascii="仿宋_GB2312" w:hAnsi="仿宋_GB2312" w:eastAsia="仿宋_GB2312" w:cs="仿宋_GB2312"/>
          <w:sz w:val="32"/>
          <w:szCs w:val="32"/>
          <w:lang w:eastAsia="zh-CN"/>
        </w:rPr>
        <w:t>社会</w:t>
      </w:r>
      <w:r>
        <w:rPr>
          <w:rFonts w:hint="eastAsia" w:ascii="仿宋_GB2312" w:hAnsi="仿宋_GB2312" w:eastAsia="仿宋_GB2312" w:cs="仿宋_GB2312"/>
          <w:sz w:val="32"/>
          <w:szCs w:val="32"/>
        </w:rPr>
        <w:t>高质量发展。三年来，共</w:t>
      </w:r>
      <w:r>
        <w:rPr>
          <w:rFonts w:hint="eastAsia" w:ascii="仿宋_GB2312" w:hAnsi="仿宋_GB2312" w:eastAsia="仿宋_GB2312" w:cs="仿宋_GB2312"/>
          <w:sz w:val="32"/>
          <w:szCs w:val="32"/>
          <w:lang w:bidi="ar"/>
        </w:rPr>
        <w:t>查处各类案件621起，罚没款251.36万元；圆满保障</w:t>
      </w:r>
      <w:r>
        <w:rPr>
          <w:rFonts w:hint="eastAsia" w:ascii="仿宋_GB2312" w:hAnsi="仿宋_GB2312" w:eastAsia="仿宋_GB2312" w:cs="仿宋_GB2312"/>
          <w:sz w:val="32"/>
          <w:szCs w:val="32"/>
          <w:lang w:eastAsia="zh-CN" w:bidi="ar"/>
        </w:rPr>
        <w:t>投洽会、</w:t>
      </w:r>
      <w:r>
        <w:rPr>
          <w:rFonts w:hint="eastAsia" w:ascii="仿宋_GB2312" w:hAnsi="仿宋_GB2312" w:eastAsia="仿宋_GB2312" w:cs="仿宋_GB2312"/>
          <w:sz w:val="32"/>
          <w:szCs w:val="32"/>
          <w:lang w:bidi="ar"/>
        </w:rPr>
        <w:t>海峡论坛等大型活动及展会逾1500场次；处理投诉举报6万余件，为消费者挽回经济损失超2000万元。</w:t>
      </w:r>
      <w:r>
        <w:rPr>
          <w:rFonts w:hint="eastAsia" w:ascii="仿宋_GB2312" w:hAnsi="仿宋_GB2312" w:eastAsia="仿宋_GB2312" w:cs="仿宋_GB2312"/>
          <w:sz w:val="32"/>
          <w:szCs w:val="32"/>
        </w:rPr>
        <w:t>先后获评“全国市场监管系统优秀市场监管所”“全国五星市场监督管理所”“全省市场监管系统先进集体”等荣</w:t>
      </w:r>
      <w:r>
        <w:rPr>
          <w:rFonts w:hint="eastAsia" w:ascii="仿宋_GB2312" w:hAnsi="仿宋_GB2312" w:eastAsia="仿宋_GB2312" w:cs="仿宋_GB2312"/>
          <w:sz w:val="32"/>
          <w:szCs w:val="32"/>
          <w:lang w:eastAsia="zh-CN"/>
        </w:rPr>
        <w:t>誉</w:t>
      </w:r>
      <w:r>
        <w:rPr>
          <w:rFonts w:hint="eastAsia" w:ascii="仿宋_GB2312" w:hAnsi="仿宋_GB2312" w:eastAsia="仿宋_GB2312" w:cs="仿宋_GB2312"/>
          <w:sz w:val="32"/>
          <w:szCs w:val="32"/>
        </w:rPr>
        <w:t>。</w:t>
      </w:r>
    </w:p>
    <w:p w14:paraId="63627E0C">
      <w:pPr>
        <w:spacing w:line="600" w:lineRule="exact"/>
        <w:ind w:firstLine="640" w:firstLineChars="200"/>
        <w:rPr>
          <w:rFonts w:hint="eastAsia" w:ascii="仿宋_GB2312" w:hAnsi="仿宋_GB2312" w:eastAsia="仿宋_GB2312" w:cs="仿宋_GB2312"/>
          <w:b w:val="0"/>
          <w:bCs w:val="0"/>
          <w:sz w:val="32"/>
          <w:szCs w:val="32"/>
        </w:rPr>
      </w:pPr>
    </w:p>
    <w:p w14:paraId="56EF815F">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outlineLvl w:val="9"/>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val="en-US" w:eastAsia="zh-CN"/>
        </w:rPr>
        <w:t>4.福建省</w:t>
      </w:r>
      <w:r>
        <w:rPr>
          <w:rFonts w:hint="eastAsia" w:ascii="楷体_GB2312" w:hAnsi="楷体_GB2312" w:eastAsia="楷体_GB2312" w:cs="楷体_GB2312"/>
          <w:b/>
          <w:bCs/>
          <w:sz w:val="32"/>
          <w:szCs w:val="32"/>
          <w:lang w:eastAsia="zh-CN"/>
        </w:rPr>
        <w:t>漳州市市场监管综合执法支队</w:t>
      </w:r>
    </w:p>
    <w:p w14:paraId="5714029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仿宋_GB2312" w:hAnsi="仿宋_GB2312" w:eastAsia="仿宋_GB2312" w:cs="仿宋_GB2312"/>
          <w:color w:val="000000"/>
          <w:sz w:val="32"/>
          <w:szCs w:val="32"/>
          <w:lang w:val="en-US" w:eastAsia="zh-CN"/>
        </w:rPr>
      </w:pPr>
      <w:r>
        <w:rPr>
          <w:rFonts w:hint="eastAsia" w:ascii="仿宋_GB2312" w:hAnsi="仿宋_GB2312" w:cs="仿宋_GB2312"/>
          <w:sz w:val="32"/>
          <w:szCs w:val="32"/>
          <w:lang w:eastAsia="zh-CN"/>
        </w:rPr>
        <w:t>该</w:t>
      </w:r>
      <w:r>
        <w:rPr>
          <w:rFonts w:hint="eastAsia" w:ascii="仿宋_GB2312" w:hAnsi="仿宋_GB2312" w:eastAsia="仿宋_GB2312" w:cs="仿宋_GB2312"/>
          <w:sz w:val="32"/>
          <w:szCs w:val="32"/>
        </w:rPr>
        <w:t>支队始终</w:t>
      </w:r>
      <w:r>
        <w:rPr>
          <w:rFonts w:hint="eastAsia" w:ascii="仿宋_GB2312" w:hAnsi="仿宋_GB2312" w:eastAsia="仿宋_GB2312" w:cs="仿宋_GB2312"/>
          <w:sz w:val="32"/>
          <w:szCs w:val="32"/>
          <w:lang w:eastAsia="zh-CN"/>
        </w:rPr>
        <w:t>坚持以习近平新时代中国特色社会主义思想为指导，坚定拥护“两个确立”、坚决做到“两个维护”</w:t>
      </w:r>
      <w:r>
        <w:rPr>
          <w:rFonts w:hint="eastAsia" w:ascii="仿宋_GB2312" w:hAnsi="仿宋_GB2312" w:eastAsia="仿宋_GB2312" w:cs="仿宋_GB2312"/>
          <w:sz w:val="32"/>
          <w:szCs w:val="32"/>
          <w:lang w:val="en-US" w:eastAsia="zh-CN"/>
        </w:rPr>
        <w:t>。在实际工作中，支队</w:t>
      </w:r>
      <w:r>
        <w:rPr>
          <w:rFonts w:hint="eastAsia" w:ascii="仿宋_GB2312" w:hAnsi="仿宋_GB2312" w:eastAsia="仿宋_GB2312" w:cs="仿宋_GB2312"/>
          <w:sz w:val="32"/>
          <w:szCs w:val="32"/>
          <w:lang w:eastAsia="zh-CN"/>
        </w:rPr>
        <w:t>以市场监管总局“一个大市场、两个纲要</w:t>
      </w:r>
      <w:r>
        <w:rPr>
          <w:rFonts w:hint="eastAsia" w:ascii="仿宋_GB2312" w:hAnsi="仿宋_GB2312" w:eastAsia="仿宋_GB2312" w:cs="仿宋_GB2312"/>
          <w:color w:val="000000"/>
          <w:sz w:val="32"/>
          <w:szCs w:val="32"/>
          <w:lang w:eastAsia="zh-CN"/>
        </w:rPr>
        <w:t>、三个监管、四个安全”为工作着力点，</w:t>
      </w:r>
      <w:r>
        <w:rPr>
          <w:rFonts w:hint="eastAsia" w:ascii="仿宋_GB2312" w:hAnsi="仿宋_GB2312" w:eastAsia="仿宋_GB2312" w:cs="仿宋_GB2312"/>
          <w:color w:val="000000"/>
          <w:sz w:val="32"/>
          <w:szCs w:val="32"/>
          <w:lang w:val="en-US" w:eastAsia="zh-CN"/>
        </w:rPr>
        <w:t>准确把握执法工作新定位，探索行刑衔接新模式</w:t>
      </w:r>
      <w:r>
        <w:rPr>
          <w:rFonts w:hint="eastAsia" w:ascii="仿宋_GB2312" w:hAnsi="仿宋_GB2312" w:eastAsia="仿宋_GB2312" w:cs="仿宋_GB2312"/>
          <w:color w:val="000000"/>
          <w:sz w:val="32"/>
          <w:szCs w:val="32"/>
          <w:lang w:eastAsia="zh-CN"/>
        </w:rPr>
        <w:t>，建立市场监管与公、检、法多方协作机制，实质性化解行政争议。同时持续强化</w:t>
      </w:r>
      <w:r>
        <w:rPr>
          <w:rFonts w:hint="eastAsia" w:ascii="仿宋_GB2312" w:hAnsi="仿宋_GB2312" w:eastAsia="仿宋_GB2312" w:cs="仿宋_GB2312"/>
          <w:color w:val="000000"/>
          <w:sz w:val="32"/>
          <w:szCs w:val="32"/>
          <w:lang w:val="en-US" w:eastAsia="zh-CN"/>
        </w:rPr>
        <w:t>队伍行风作风建设，构建行政执法全链条长效管理制度，有力推动执法工作争先晋位</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lang w:eastAsia="zh-CN"/>
        </w:rPr>
        <w:t>近三年</w:t>
      </w:r>
      <w:r>
        <w:rPr>
          <w:rFonts w:hint="eastAsia" w:ascii="仿宋_GB2312" w:hAnsi="仿宋_GB2312" w:eastAsia="仿宋_GB2312" w:cs="仿宋_GB2312"/>
          <w:color w:val="000000"/>
          <w:sz w:val="32"/>
          <w:szCs w:val="32"/>
          <w:lang w:val="en-US" w:eastAsia="zh-CN"/>
        </w:rPr>
        <w:t>来，支队共受理违法</w:t>
      </w:r>
      <w:r>
        <w:rPr>
          <w:rFonts w:hint="eastAsia" w:ascii="仿宋_GB2312" w:hAnsi="仿宋_GB2312" w:eastAsia="仿宋_GB2312" w:cs="仿宋_GB2312"/>
          <w:b w:val="0"/>
          <w:bCs w:val="0"/>
          <w:color w:val="000000"/>
          <w:sz w:val="32"/>
          <w:szCs w:val="32"/>
          <w:lang w:val="en-US" w:eastAsia="zh-CN"/>
        </w:rPr>
        <w:t>线索12200余件、</w:t>
      </w:r>
      <w:r>
        <w:rPr>
          <w:rFonts w:hint="eastAsia" w:ascii="仿宋_GB2312" w:hAnsi="仿宋_GB2312" w:eastAsia="仿宋_GB2312" w:cs="仿宋_GB2312"/>
          <w:color w:val="000000"/>
          <w:sz w:val="32"/>
          <w:szCs w:val="32"/>
          <w:lang w:val="en-US" w:eastAsia="zh-CN"/>
        </w:rPr>
        <w:t>查办各类案件5193起，其中大要案16起，入选市场监管总局典型案例2起、总局挂牌督办案件1起，</w:t>
      </w:r>
      <w:r>
        <w:rPr>
          <w:rFonts w:hint="eastAsia" w:ascii="仿宋_GB2312" w:hAnsi="仿宋_GB2312" w:eastAsia="仿宋_GB2312" w:cs="仿宋_GB2312"/>
          <w:color w:val="000000"/>
          <w:sz w:val="32"/>
          <w:szCs w:val="32"/>
          <w:highlight w:val="none"/>
          <w:lang w:eastAsia="zh-CN"/>
        </w:rPr>
        <w:t>被国家、省、市各级部门授予相关荣誉</w:t>
      </w:r>
      <w:r>
        <w:rPr>
          <w:rFonts w:hint="eastAsia" w:ascii="仿宋_GB2312" w:hAnsi="仿宋_GB2312" w:eastAsia="仿宋_GB2312" w:cs="仿宋_GB2312"/>
          <w:color w:val="000000"/>
          <w:sz w:val="32"/>
          <w:szCs w:val="32"/>
          <w:highlight w:val="none"/>
          <w:lang w:val="en-US" w:eastAsia="zh-CN"/>
        </w:rPr>
        <w:t>12人</w:t>
      </w:r>
      <w:r>
        <w:rPr>
          <w:rFonts w:hint="eastAsia" w:ascii="仿宋_GB2312" w:hAnsi="仿宋_GB2312" w:eastAsia="仿宋_GB2312" w:cs="仿宋_GB2312"/>
          <w:color w:val="000000"/>
          <w:sz w:val="32"/>
          <w:szCs w:val="32"/>
          <w:lang w:val="en-US" w:eastAsia="zh-CN"/>
        </w:rPr>
        <w:t>次。</w:t>
      </w:r>
    </w:p>
    <w:p w14:paraId="64E45BA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仿宋_GB2312" w:hAnsi="仿宋_GB2312" w:eastAsia="仿宋_GB2312" w:cs="仿宋_GB2312"/>
          <w:color w:val="000000"/>
          <w:sz w:val="32"/>
          <w:szCs w:val="32"/>
          <w:lang w:val="en-US" w:eastAsia="zh-CN"/>
        </w:rPr>
      </w:pPr>
      <w:bookmarkStart w:id="0" w:name="_GoBack"/>
      <w:bookmarkEnd w:id="0"/>
    </w:p>
    <w:p w14:paraId="3A39A330">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outlineLvl w:val="9"/>
        <w:rPr>
          <w:rFonts w:hint="eastAsia" w:ascii="楷体_GB2312" w:hAnsi="楷体_GB2312" w:eastAsia="楷体_GB2312" w:cs="楷体_GB2312"/>
          <w:b/>
          <w:bCs/>
          <w:kern w:val="2"/>
          <w:sz w:val="32"/>
          <w:szCs w:val="32"/>
          <w:lang w:val="zh-CN" w:eastAsia="zh-CN" w:bidi="ar-SA"/>
        </w:rPr>
      </w:pPr>
      <w:r>
        <w:rPr>
          <w:rFonts w:hint="eastAsia" w:ascii="楷体_GB2312" w:hAnsi="楷体_GB2312" w:eastAsia="楷体_GB2312" w:cs="楷体_GB2312"/>
          <w:b/>
          <w:bCs/>
          <w:kern w:val="2"/>
          <w:sz w:val="32"/>
          <w:szCs w:val="32"/>
          <w:lang w:val="en-US" w:eastAsia="zh-CN" w:bidi="ar-SA"/>
        </w:rPr>
        <w:t>5.福建省</w:t>
      </w:r>
      <w:r>
        <w:rPr>
          <w:rFonts w:hint="eastAsia" w:ascii="楷体_GB2312" w:hAnsi="楷体_GB2312" w:eastAsia="楷体_GB2312" w:cs="楷体_GB2312"/>
          <w:b/>
          <w:bCs/>
          <w:kern w:val="2"/>
          <w:sz w:val="32"/>
          <w:szCs w:val="32"/>
          <w:lang w:val="zh-CN" w:eastAsia="zh-CN" w:bidi="ar-SA"/>
        </w:rPr>
        <w:t>莆田市城厢区市场监督管理局</w:t>
      </w:r>
    </w:p>
    <w:p w14:paraId="66399644">
      <w:pPr>
        <w:keepNext w:val="0"/>
        <w:keepLines w:val="0"/>
        <w:pageBreakBefore w:val="0"/>
        <w:widowControl w:val="0"/>
        <w:kinsoku/>
        <w:wordWrap/>
        <w:overflowPunct/>
        <w:topLinePunct w:val="0"/>
        <w:autoSpaceDE/>
        <w:autoSpaceDN/>
        <w:bidi w:val="0"/>
        <w:adjustRightInd/>
        <w:snapToGrid/>
        <w:spacing w:line="600" w:lineRule="exact"/>
        <w:ind w:firstLine="640"/>
        <w:textAlignment w:val="auto"/>
        <w:outlineLvl w:val="9"/>
        <w:rPr>
          <w:rFonts w:hint="eastAsia" w:ascii="仿宋_GB2312" w:hAnsi="仿宋_GB2312" w:eastAsia="仿宋_GB2312" w:cs="仿宋_GB2312"/>
          <w:b w:val="0"/>
          <w:bCs/>
          <w:sz w:val="32"/>
          <w:szCs w:val="32"/>
          <w:lang w:val="en-US" w:eastAsia="zh-CN"/>
        </w:rPr>
      </w:pPr>
      <w:r>
        <w:rPr>
          <w:rFonts w:hint="eastAsia" w:ascii="仿宋_GB2312" w:hAnsi="仿宋_GB2312" w:cs="仿宋_GB2312"/>
          <w:sz w:val="32"/>
          <w:szCs w:val="32"/>
          <w:lang w:val="zh-CN"/>
        </w:rPr>
        <w:t>该局</w:t>
      </w:r>
      <w:r>
        <w:rPr>
          <w:rFonts w:hint="eastAsia" w:ascii="仿宋_GB2312" w:hAnsi="仿宋_GB2312" w:eastAsia="仿宋_GB2312" w:cs="仿宋_GB2312"/>
          <w:sz w:val="32"/>
          <w:szCs w:val="32"/>
          <w:lang w:val="zh-CN"/>
        </w:rPr>
        <w:t>坚持以习近平新时代中国特色社会主义思想为指导，在夯基础、创机制、强监管、保安全、促发展上措施有力，成效明显。相继获评“全国食品安全工作先进集体”、“2022年度调查工作突出贡献单位”、省级“文明单位”、“全省市场监管系统先进集体”、“全省知识产权保护工作成绩突出集体”、“全省市场监管系统非公党建工作先进集体”、“全省普法工作先进单位”、“全市先进基层党组织”等称号，连续五年荣获市级一类平安单位，连续五年市对区食品安全满意率考评、药品安全满意率考评、特种设备安全“四率”考评获全市第一，连续五年荣获全区绩效考评优秀等次。</w:t>
      </w:r>
    </w:p>
    <w:p w14:paraId="231E8247">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cs="仿宋_GB2312"/>
          <w:b w:val="0"/>
          <w:bCs/>
          <w:sz w:val="32"/>
          <w:szCs w:val="32"/>
          <w:lang w:val="en-US" w:eastAsia="zh-CN"/>
        </w:rPr>
      </w:pPr>
    </w:p>
    <w:p w14:paraId="335FF932">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outlineLvl w:val="9"/>
        <w:rPr>
          <w:rFonts w:hint="eastAsia" w:ascii="楷体_GB2312" w:hAnsi="楷体_GB2312" w:eastAsia="楷体_GB2312" w:cs="楷体_GB2312"/>
          <w:b/>
          <w:bCs w:val="0"/>
          <w:sz w:val="32"/>
          <w:szCs w:val="32"/>
          <w:lang w:val="en-US" w:eastAsia="zh-CN"/>
        </w:rPr>
      </w:pPr>
      <w:r>
        <w:rPr>
          <w:rFonts w:hint="eastAsia" w:ascii="楷体_GB2312" w:hAnsi="楷体_GB2312" w:eastAsia="楷体_GB2312" w:cs="楷体_GB2312"/>
          <w:b/>
          <w:bCs w:val="0"/>
          <w:sz w:val="32"/>
          <w:szCs w:val="32"/>
          <w:lang w:val="en-US" w:eastAsia="zh-CN"/>
        </w:rPr>
        <w:t>6.福建省上杭县古田市场监督管理所</w:t>
      </w:r>
    </w:p>
    <w:p w14:paraId="779A8F5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cs="仿宋_GB2312"/>
          <w:sz w:val="32"/>
          <w:szCs w:val="32"/>
          <w:lang w:eastAsia="zh-CN"/>
        </w:rPr>
        <w:t>该</w:t>
      </w:r>
      <w:r>
        <w:rPr>
          <w:rFonts w:hint="eastAsia" w:ascii="仿宋_GB2312" w:hAnsi="仿宋_GB2312" w:eastAsia="仿宋_GB2312" w:cs="仿宋_GB2312"/>
          <w:sz w:val="32"/>
          <w:szCs w:val="32"/>
        </w:rPr>
        <w:t>所突出党建引领，以培育“红土监管卫士”党建品牌为抓手，强力推进基层党建和监管业务“同频共振”，为市场监管事业高质量发展注入强大的“红色动力”。2024年1月，该所被福建省市场监督管理局确定为“全省市场监督管理标准化规范化建设示范所”，并被评定为“福建省四星市场监督管理所”；2019年12月，被国家市场监管总局授予“全国市场监管系统优秀市场监管所”称号；2022年3月推动古田镇成为第一批推行乡镇综合便民服务中心“家门口办照”便民服务工作的示范乡镇；2023年2月进一步扩展“家门口办照”便民服务业务范围，在原有4个事项基础上，增加食品经营许可（除仅销售预包装食品外）及仅销售预包装食品经营者备案涉及的13个事项。</w:t>
      </w:r>
    </w:p>
    <w:p w14:paraId="00CBCB3D">
      <w:pPr>
        <w:keepNext w:val="0"/>
        <w:keepLines w:val="0"/>
        <w:pageBreakBefore w:val="0"/>
        <w:kinsoku/>
        <w:wordWrap/>
        <w:overflowPunct/>
        <w:topLinePunct w:val="0"/>
        <w:autoSpaceDE/>
        <w:autoSpaceDN/>
        <w:bidi w:val="0"/>
        <w:adjustRightInd/>
        <w:snapToGrid/>
        <w:spacing w:line="600" w:lineRule="exact"/>
        <w:ind w:firstLine="675" w:firstLineChars="200"/>
        <w:jc w:val="both"/>
        <w:textAlignment w:val="auto"/>
        <w:outlineLvl w:val="9"/>
        <w:rPr>
          <w:rFonts w:hint="eastAsia" w:ascii="楷体_GB2312" w:hAnsi="楷体_GB2312" w:eastAsia="楷体_GB2312" w:cs="楷体_GB2312"/>
          <w:b/>
          <w:bCs/>
          <w:spacing w:val="8"/>
          <w:kern w:val="36"/>
          <w:sz w:val="32"/>
          <w:szCs w:val="32"/>
          <w:lang w:val="en-US" w:eastAsia="zh-CN"/>
        </w:rPr>
      </w:pPr>
    </w:p>
    <w:p w14:paraId="5420F4CC">
      <w:pPr>
        <w:keepNext w:val="0"/>
        <w:keepLines w:val="0"/>
        <w:pageBreakBefore w:val="0"/>
        <w:kinsoku/>
        <w:wordWrap/>
        <w:overflowPunct/>
        <w:topLinePunct w:val="0"/>
        <w:autoSpaceDE/>
        <w:autoSpaceDN/>
        <w:bidi w:val="0"/>
        <w:adjustRightInd/>
        <w:snapToGrid/>
        <w:spacing w:line="600" w:lineRule="exact"/>
        <w:ind w:firstLine="675" w:firstLineChars="200"/>
        <w:jc w:val="both"/>
        <w:textAlignment w:val="auto"/>
        <w:outlineLvl w:val="9"/>
        <w:rPr>
          <w:rFonts w:hint="eastAsia" w:ascii="仿宋_GB2312" w:hAnsi="仿宋_GB2312" w:eastAsia="仿宋_GB2312" w:cs="仿宋_GB2312"/>
          <w:spacing w:val="8"/>
          <w:kern w:val="36"/>
          <w:sz w:val="32"/>
          <w:szCs w:val="32"/>
          <w:lang w:eastAsia="zh-CN"/>
        </w:rPr>
      </w:pPr>
      <w:r>
        <w:rPr>
          <w:rFonts w:hint="eastAsia" w:ascii="楷体_GB2312" w:hAnsi="楷体_GB2312" w:eastAsia="楷体_GB2312" w:cs="楷体_GB2312"/>
          <w:b/>
          <w:bCs/>
          <w:spacing w:val="8"/>
          <w:kern w:val="36"/>
          <w:sz w:val="32"/>
          <w:szCs w:val="32"/>
          <w:lang w:val="en-US" w:eastAsia="zh-CN"/>
        </w:rPr>
        <w:t>7.福建省</w:t>
      </w:r>
      <w:r>
        <w:rPr>
          <w:rFonts w:hint="eastAsia" w:ascii="楷体_GB2312" w:hAnsi="楷体_GB2312" w:eastAsia="楷体_GB2312" w:cs="楷体_GB2312"/>
          <w:b/>
          <w:bCs/>
          <w:spacing w:val="8"/>
          <w:kern w:val="36"/>
          <w:sz w:val="32"/>
          <w:szCs w:val="32"/>
          <w:lang w:eastAsia="zh-CN"/>
        </w:rPr>
        <w:t>尤溪县洋中市场监督管理所</w:t>
      </w:r>
    </w:p>
    <w:p w14:paraId="39034664">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600" w:lineRule="exact"/>
        <w:ind w:firstLine="640" w:firstLineChars="200"/>
        <w:textAlignment w:val="auto"/>
        <w:outlineLvl w:val="9"/>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近年来，</w:t>
      </w:r>
      <w:r>
        <w:rPr>
          <w:rFonts w:hint="eastAsia" w:ascii="仿宋_GB2312" w:hAnsi="仿宋_GB2312" w:eastAsia="仿宋_GB2312" w:cs="仿宋_GB2312"/>
          <w:b w:val="0"/>
          <w:bCs w:val="0"/>
          <w:sz w:val="32"/>
          <w:szCs w:val="32"/>
          <w:lang w:eastAsia="zh-CN"/>
        </w:rPr>
        <w:t>该</w:t>
      </w:r>
      <w:r>
        <w:rPr>
          <w:rFonts w:hint="eastAsia" w:ascii="仿宋_GB2312" w:hAnsi="仿宋_GB2312" w:eastAsia="仿宋_GB2312" w:cs="仿宋_GB2312"/>
          <w:b w:val="0"/>
          <w:bCs w:val="0"/>
          <w:sz w:val="32"/>
          <w:szCs w:val="32"/>
        </w:rPr>
        <w:t>所脚踏实地、开拓创新，各项工作取得突出成效。一是以知识产权赋能农业发展。截至目前，辖区共有商标545件，专利388件；帮助3家企业争取专利权质押贷款2580万元。助力洋中“菌菇小镇”品牌发展，现有食用菌企业、合作社28家，注册食用菌商标11个、专利36项，食用菌产值达7.2亿元。二是以质量创新驱动工业发展。指导辖区福建钢铁长城环保科技有限公司完成参与制订2项国家标准、2项协会团体标准和1项省地方标准。2023年，该企业入围省级标准创新型民企试点单位。三是以消费保障规范旅游环境。2019年至今，景区投诉举报数量仅56件，办结率、答复率、满意率均为100%。2022年，</w:t>
      </w:r>
      <w:r>
        <w:rPr>
          <w:rFonts w:hint="eastAsia" w:ascii="仿宋_GB2312" w:hAnsi="仿宋_GB2312" w:eastAsia="仿宋_GB2312" w:cs="仿宋_GB2312"/>
          <w:b w:val="0"/>
          <w:bCs w:val="0"/>
          <w:sz w:val="32"/>
          <w:szCs w:val="32"/>
          <w:lang w:eastAsia="zh-CN"/>
        </w:rPr>
        <w:t>该所</w:t>
      </w:r>
      <w:r>
        <w:rPr>
          <w:rFonts w:hint="eastAsia" w:ascii="仿宋_GB2312" w:hAnsi="仿宋_GB2312" w:eastAsia="仿宋_GB2312" w:cs="仿宋_GB2312"/>
          <w:b w:val="0"/>
          <w:bCs w:val="0"/>
          <w:sz w:val="32"/>
          <w:szCs w:val="32"/>
        </w:rPr>
        <w:t>被授予“全省市场监管系统先进集体”称号；2023年，获评“四星市场监管所”;2024</w:t>
      </w:r>
      <w:r>
        <w:rPr>
          <w:rFonts w:hint="eastAsia" w:ascii="仿宋_GB2312" w:hAnsi="仿宋_GB2312" w:eastAsia="仿宋_GB2312" w:cs="仿宋_GB2312"/>
          <w:b w:val="0"/>
          <w:bCs w:val="0"/>
          <w:sz w:val="32"/>
          <w:szCs w:val="32"/>
          <w:lang w:eastAsia="zh-CN"/>
        </w:rPr>
        <w:t>年</w:t>
      </w:r>
      <w:r>
        <w:rPr>
          <w:rFonts w:hint="eastAsia" w:ascii="仿宋_GB2312" w:hAnsi="仿宋_GB2312" w:eastAsia="仿宋_GB2312" w:cs="仿宋_GB2312"/>
          <w:b w:val="0"/>
          <w:bCs w:val="0"/>
          <w:sz w:val="32"/>
          <w:szCs w:val="32"/>
        </w:rPr>
        <w:t>，获评县“先进基层党组织”。</w:t>
      </w:r>
    </w:p>
    <w:p w14:paraId="7CF51863">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600" w:lineRule="exact"/>
        <w:ind w:firstLine="600"/>
        <w:textAlignment w:val="auto"/>
        <w:outlineLvl w:val="9"/>
        <w:rPr>
          <w:rFonts w:hint="eastAsia" w:ascii="仿宋_GB2312" w:hAnsi="仿宋_GB2312" w:eastAsia="仿宋_GB2312" w:cs="仿宋_GB2312"/>
          <w:b w:val="0"/>
          <w:bCs w:val="0"/>
          <w:sz w:val="32"/>
          <w:szCs w:val="32"/>
        </w:rPr>
      </w:pPr>
    </w:p>
    <w:p w14:paraId="291DE925">
      <w:pPr>
        <w:widowControl w:val="0"/>
        <w:spacing w:line="600" w:lineRule="exact"/>
        <w:ind w:firstLine="640" w:firstLineChars="200"/>
        <w:jc w:val="both"/>
        <w:textAlignment w:val="baseline"/>
        <w:rPr>
          <w:rFonts w:ascii="Calibri" w:hAnsi="Calibri" w:eastAsia="宋体" w:cs="Times New Roman"/>
          <w:kern w:val="2"/>
          <w:sz w:val="18"/>
          <w:szCs w:val="18"/>
          <w:lang w:val="en-US" w:eastAsia="zh-CN" w:bidi="ar-SA"/>
        </w:rPr>
      </w:pPr>
      <w:r>
        <w:rPr>
          <w:rFonts w:hint="eastAsia" w:ascii="黑体" w:hAnsi="黑体" w:eastAsia="黑体" w:cs="黑体"/>
          <w:b w:val="0"/>
          <w:bCs w:val="0"/>
          <w:kern w:val="2"/>
          <w:sz w:val="32"/>
          <w:szCs w:val="32"/>
          <w:lang w:val="en-US" w:eastAsia="zh-CN" w:bidi="ar-SA"/>
        </w:rPr>
        <w:t>二、全国市场监管系统先进工作者</w:t>
      </w:r>
    </w:p>
    <w:p w14:paraId="51EF8351">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outlineLvl w:val="9"/>
        <w:rPr>
          <w:rFonts w:ascii="Times New Roman" w:hAnsi="Times New Roman" w:eastAsia="仿宋_GB2312" w:cs="Times New Roman"/>
          <w:sz w:val="32"/>
          <w:szCs w:val="32"/>
        </w:rPr>
      </w:pPr>
      <w:r>
        <w:rPr>
          <w:rFonts w:hint="eastAsia" w:ascii="楷体_GB2312" w:hAnsi="楷体_GB2312" w:eastAsia="楷体_GB2312" w:cs="楷体_GB2312"/>
          <w:b/>
          <w:bCs/>
          <w:sz w:val="32"/>
          <w:szCs w:val="32"/>
          <w:lang w:val="en-US" w:eastAsia="zh-CN"/>
        </w:rPr>
        <w:t>1.</w:t>
      </w:r>
      <w:r>
        <w:rPr>
          <w:rFonts w:hint="eastAsia" w:ascii="楷体_GB2312" w:hAnsi="楷体_GB2312" w:eastAsia="楷体_GB2312" w:cs="楷体_GB2312"/>
          <w:b/>
          <w:bCs/>
          <w:sz w:val="32"/>
          <w:szCs w:val="32"/>
          <w:lang w:eastAsia="zh-CN"/>
        </w:rPr>
        <w:t>吴良应：</w:t>
      </w:r>
      <w:r>
        <w:rPr>
          <w:rFonts w:hint="eastAsia" w:ascii="Times New Roman" w:hAnsi="Times New Roman" w:cs="Times New Roman"/>
          <w:sz w:val="32"/>
          <w:szCs w:val="32"/>
          <w:lang w:eastAsia="zh-CN"/>
        </w:rPr>
        <w:t>该</w:t>
      </w:r>
      <w:r>
        <w:rPr>
          <w:rFonts w:hint="eastAsia" w:ascii="Times New Roman" w:hAnsi="Times New Roman" w:eastAsia="仿宋_GB2312" w:cs="Times New Roman"/>
          <w:sz w:val="32"/>
          <w:szCs w:val="32"/>
          <w:lang w:eastAsia="zh-CN"/>
        </w:rPr>
        <w:t>同志</w:t>
      </w:r>
      <w:r>
        <w:rPr>
          <w:rFonts w:hint="eastAsia" w:ascii="Times New Roman" w:hAnsi="Times New Roman" w:eastAsia="仿宋_GB2312" w:cs="Times New Roman"/>
          <w:sz w:val="32"/>
          <w:szCs w:val="32"/>
        </w:rPr>
        <w:t>持续深化商事制度改革，</w:t>
      </w:r>
      <w:r>
        <w:rPr>
          <w:rFonts w:hint="eastAsia" w:ascii="仿宋_GB2312" w:hAnsi="仿宋_GB2312" w:eastAsia="仿宋_GB2312" w:cs="仿宋_GB2312"/>
          <w:sz w:val="32"/>
          <w:szCs w:val="32"/>
        </w:rPr>
        <w:t>南平市“市场主体满意度”考核指标连续两年位居全省首位，在第七届中国民营企业合作大会上作主题发言。大力实施质量强市战略，</w:t>
      </w:r>
      <w:r>
        <w:rPr>
          <w:rFonts w:hint="eastAsia" w:ascii="Times New Roman" w:hAnsi="Times New Roman" w:eastAsia="仿宋_GB2312" w:cs="Times New Roman"/>
          <w:sz w:val="32"/>
          <w:szCs w:val="32"/>
        </w:rPr>
        <w:t>强力落实南平市政府与省市场监管局战略合作协议</w:t>
      </w:r>
      <w:r>
        <w:rPr>
          <w:rFonts w:ascii="Times New Roman" w:hAnsi="Times New Roman" w:eastAsia="仿宋_GB2312" w:cs="Times New Roman"/>
          <w:smallCaps/>
          <w:sz w:val="32"/>
          <w:szCs w:val="32"/>
        </w:rPr>
        <w:t>，联动开展市场监管赋能竹产业链高质量发展行动</w:t>
      </w:r>
      <w:r>
        <w:rPr>
          <w:rFonts w:hint="eastAsia" w:ascii="Times New Roman" w:hAnsi="Times New Roman" w:eastAsia="仿宋_GB2312" w:cs="Times New Roman"/>
          <w:smallCaps/>
          <w:sz w:val="32"/>
          <w:szCs w:val="32"/>
        </w:rPr>
        <w:t>，争取国家级“两中心、一基地”项目落地。</w:t>
      </w:r>
      <w:r>
        <w:rPr>
          <w:rFonts w:hint="eastAsia" w:ascii="仿宋_GB2312" w:hAnsi="仿宋_GB2312" w:eastAsia="仿宋_GB2312" w:cs="仿宋_GB2312"/>
          <w:sz w:val="32"/>
          <w:szCs w:val="32"/>
        </w:rPr>
        <w:t>创新</w:t>
      </w:r>
      <w:r>
        <w:rPr>
          <w:rFonts w:ascii="Times New Roman" w:hAnsi="Times New Roman" w:eastAsia="仿宋_GB2312" w:cs="Times New Roman"/>
          <w:sz w:val="32"/>
          <w:szCs w:val="32"/>
        </w:rPr>
        <w:t>打造</w:t>
      </w:r>
      <w:r>
        <w:rPr>
          <w:rFonts w:ascii="Times New Roman" w:hAnsi="Times New Roman" w:eastAsia="仿宋_GB2312" w:cs="Times New Roman"/>
          <w:snapToGrid w:val="0"/>
          <w:kern w:val="0"/>
          <w:sz w:val="32"/>
          <w:szCs w:val="32"/>
        </w:rPr>
        <w:t>“武夷山水”区域公用品牌，</w:t>
      </w:r>
      <w:r>
        <w:rPr>
          <w:rFonts w:ascii="Times New Roman" w:hAnsi="Times New Roman" w:eastAsia="仿宋_GB2312" w:cs="Times New Roman"/>
          <w:sz w:val="32"/>
          <w:szCs w:val="32"/>
        </w:rPr>
        <w:t>南平市进入中国城市品牌（地级市）百强榜。</w:t>
      </w:r>
      <w:r>
        <w:rPr>
          <w:rFonts w:hint="eastAsia" w:ascii="Times New Roman" w:hAnsi="Times New Roman" w:eastAsia="仿宋_GB2312" w:cs="Times New Roman"/>
          <w:sz w:val="32"/>
          <w:szCs w:val="32"/>
        </w:rPr>
        <w:t>认真落实“四个最严”要求，不断完善“三品一特”安全监管体系，多次获国家、省、市表扬肯定。</w:t>
      </w:r>
      <w:r>
        <w:rPr>
          <w:rFonts w:ascii="Times New Roman" w:hAnsi="Times New Roman" w:eastAsia="仿宋_GB2312" w:cs="Times New Roman"/>
          <w:kern w:val="0"/>
          <w:sz w:val="32"/>
          <w:szCs w:val="32"/>
        </w:rPr>
        <w:t>“铁拳”</w:t>
      </w:r>
      <w:r>
        <w:rPr>
          <w:rFonts w:hint="eastAsia" w:ascii="Times New Roman" w:hAnsi="Times New Roman" w:eastAsia="仿宋_GB2312" w:cs="Times New Roman"/>
          <w:kern w:val="0"/>
          <w:sz w:val="32"/>
          <w:szCs w:val="32"/>
        </w:rPr>
        <w:t>整治违法违规经营行为，亲自</w:t>
      </w:r>
      <w:r>
        <w:rPr>
          <w:rFonts w:hint="eastAsia" w:ascii="Times New Roman" w:hAnsi="Times New Roman" w:eastAsia="仿宋_GB2312" w:cs="Times New Roman"/>
          <w:sz w:val="32"/>
          <w:szCs w:val="32"/>
        </w:rPr>
        <w:t>指挥部署</w:t>
      </w:r>
      <w:r>
        <w:rPr>
          <w:rFonts w:ascii="Times New Roman" w:hAnsi="Times New Roman" w:eastAsia="仿宋_GB2312" w:cs="Times New Roman"/>
          <w:sz w:val="32"/>
          <w:szCs w:val="32"/>
        </w:rPr>
        <w:t>查办茶叶非法添加、网络直播间销售伪劣岩茶、红茶、建盏直播虚假宣传等重大案件，案值金额</w:t>
      </w:r>
      <w:r>
        <w:rPr>
          <w:rFonts w:hint="eastAsia" w:ascii="Times New Roman" w:hAnsi="Times New Roman" w:eastAsia="仿宋_GB2312" w:cs="Times New Roman"/>
          <w:sz w:val="32"/>
          <w:szCs w:val="32"/>
        </w:rPr>
        <w:t>过亿元，</w:t>
      </w:r>
      <w:r>
        <w:rPr>
          <w:rFonts w:ascii="Times New Roman" w:hAnsi="Times New Roman" w:eastAsia="仿宋_GB2312" w:cs="Times New Roman"/>
          <w:sz w:val="32"/>
          <w:szCs w:val="32"/>
        </w:rPr>
        <w:t>创历史之最</w:t>
      </w:r>
      <w:r>
        <w:rPr>
          <w:rFonts w:hint="eastAsia" w:ascii="Times New Roman" w:hAnsi="Times New Roman" w:eastAsia="仿宋_GB2312" w:cs="Times New Roman"/>
          <w:sz w:val="32"/>
          <w:szCs w:val="32"/>
        </w:rPr>
        <w:t>。个人多次获评国家、省、市</w:t>
      </w:r>
      <w:r>
        <w:rPr>
          <w:rFonts w:hint="eastAsia" w:ascii="Times New Roman" w:hAnsi="Times New Roman" w:eastAsia="仿宋_GB2312" w:cs="Times New Roman"/>
          <w:sz w:val="32"/>
          <w:szCs w:val="32"/>
          <w:lang w:eastAsia="zh-CN"/>
        </w:rPr>
        <w:t>优秀工商行政管理人员、</w:t>
      </w:r>
      <w:r>
        <w:rPr>
          <w:rFonts w:hint="eastAsia" w:ascii="Times New Roman" w:hAnsi="Times New Roman" w:eastAsia="仿宋_GB2312" w:cs="Times New Roman"/>
          <w:sz w:val="32"/>
          <w:szCs w:val="32"/>
        </w:rPr>
        <w:t>先进工作者</w:t>
      </w:r>
      <w:r>
        <w:rPr>
          <w:rFonts w:hint="eastAsia" w:ascii="Times New Roman" w:hAnsi="Times New Roman" w:eastAsia="仿宋_GB2312" w:cs="Times New Roman"/>
          <w:sz w:val="32"/>
          <w:szCs w:val="32"/>
          <w:lang w:eastAsia="zh-CN"/>
        </w:rPr>
        <w:t>等表彰</w:t>
      </w:r>
      <w:r>
        <w:rPr>
          <w:rFonts w:hint="eastAsia" w:ascii="Times New Roman" w:hAnsi="Times New Roman" w:eastAsia="仿宋_GB2312" w:cs="Times New Roman"/>
          <w:sz w:val="32"/>
          <w:szCs w:val="32"/>
        </w:rPr>
        <w:t>，南平市市场监管局先后荣获</w:t>
      </w:r>
      <w:r>
        <w:rPr>
          <w:rFonts w:ascii="Times New Roman" w:hAnsi="Times New Roman" w:eastAsia="仿宋_GB2312" w:cs="Times New Roman"/>
          <w:kern w:val="0"/>
          <w:sz w:val="32"/>
          <w:szCs w:val="32"/>
        </w:rPr>
        <w:t>全国产品质量安全监管保障贡献突出集体</w:t>
      </w:r>
      <w:r>
        <w:rPr>
          <w:rFonts w:hint="eastAsia" w:ascii="Times New Roman" w:hAnsi="Times New Roman" w:eastAsia="仿宋_GB2312" w:cs="Times New Roman"/>
          <w:kern w:val="0"/>
          <w:sz w:val="32"/>
          <w:szCs w:val="32"/>
        </w:rPr>
        <w:t>、</w:t>
      </w:r>
      <w:r>
        <w:rPr>
          <w:rFonts w:hint="eastAsia" w:ascii="Times New Roman" w:hAnsi="Times New Roman" w:eastAsia="仿宋_GB2312" w:cs="Times New Roman"/>
          <w:bCs/>
          <w:sz w:val="32"/>
          <w:szCs w:val="32"/>
        </w:rPr>
        <w:t>福建省抗击新冠肺炎疫情先进集体、</w:t>
      </w:r>
      <w:r>
        <w:rPr>
          <w:rFonts w:ascii="Times New Roman" w:hAnsi="Times New Roman" w:eastAsia="仿宋_GB2312" w:cs="Times New Roman"/>
          <w:sz w:val="32"/>
          <w:szCs w:val="32"/>
        </w:rPr>
        <w:t>全省消费维权先进集体</w:t>
      </w:r>
      <w:r>
        <w:rPr>
          <w:rFonts w:hint="eastAsia" w:ascii="Times New Roman" w:hAnsi="Times New Roman" w:eastAsia="仿宋_GB2312" w:cs="Times New Roman"/>
          <w:sz w:val="32"/>
          <w:szCs w:val="32"/>
        </w:rPr>
        <w:t>等荣誉。</w:t>
      </w:r>
    </w:p>
    <w:p w14:paraId="7308A906">
      <w:pPr>
        <w:pStyle w:val="4"/>
        <w:spacing w:line="600" w:lineRule="exact"/>
        <w:ind w:firstLine="640" w:firstLineChars="200"/>
        <w:jc w:val="both"/>
        <w:rPr>
          <w:rFonts w:hint="eastAsia" w:ascii="仿宋_GB2312" w:hAnsi="仿宋_GB2312" w:eastAsia="仿宋_GB2312" w:cs="仿宋_GB2312"/>
          <w:sz w:val="32"/>
          <w:szCs w:val="32"/>
          <w:lang w:val="en-US" w:eastAsia="zh-CN"/>
        </w:rPr>
      </w:pPr>
    </w:p>
    <w:p w14:paraId="3B6E3B3E">
      <w:pPr>
        <w:pStyle w:val="4"/>
        <w:spacing w:line="600" w:lineRule="exact"/>
        <w:ind w:firstLine="643" w:firstLineChars="200"/>
        <w:jc w:val="both"/>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lang w:val="en-US" w:eastAsia="zh-CN"/>
        </w:rPr>
        <w:t>2.</w:t>
      </w:r>
      <w:r>
        <w:rPr>
          <w:rFonts w:hint="eastAsia" w:ascii="楷体_GB2312" w:hAnsi="楷体_GB2312" w:eastAsia="楷体_GB2312" w:cs="楷体_GB2312"/>
          <w:b/>
          <w:bCs/>
          <w:sz w:val="32"/>
          <w:szCs w:val="32"/>
          <w:lang w:eastAsia="zh-CN"/>
        </w:rPr>
        <w:t>潘行星：</w:t>
      </w:r>
      <w:r>
        <w:rPr>
          <w:rFonts w:hint="eastAsia" w:ascii="仿宋_GB2312" w:hAnsi="仿宋_GB2312" w:eastAsia="仿宋_GB2312" w:cs="仿宋_GB2312"/>
          <w:sz w:val="32"/>
          <w:szCs w:val="32"/>
          <w:lang w:eastAsia="zh-CN"/>
        </w:rPr>
        <w:t>该同志</w:t>
      </w:r>
      <w:r>
        <w:rPr>
          <w:rFonts w:hint="eastAsia" w:ascii="仿宋_GB2312" w:hAnsi="仿宋_GB2312" w:eastAsia="仿宋_GB2312" w:cs="仿宋_GB2312"/>
          <w:sz w:val="32"/>
          <w:szCs w:val="32"/>
        </w:rPr>
        <w:t>政治</w:t>
      </w:r>
      <w:r>
        <w:rPr>
          <w:rFonts w:hint="eastAsia" w:ascii="仿宋_GB2312" w:hAnsi="仿宋_GB2312" w:eastAsia="仿宋_GB2312" w:cs="仿宋_GB2312"/>
          <w:sz w:val="32"/>
          <w:szCs w:val="32"/>
          <w:lang w:eastAsia="zh-CN"/>
        </w:rPr>
        <w:t>素质</w:t>
      </w:r>
      <w:r>
        <w:rPr>
          <w:rFonts w:hint="eastAsia" w:ascii="仿宋_GB2312" w:hAnsi="仿宋_GB2312" w:eastAsia="仿宋_GB2312" w:cs="仿宋_GB2312"/>
          <w:sz w:val="32"/>
          <w:szCs w:val="32"/>
        </w:rPr>
        <w:t>过硬、思维敏锐、作风扎实，聚焦服务市场监管、服务纺织产业高质量发展，引领队伍战略性打造国家中心平台，聚势创新赋能产业。他主导1项国际标准制定，承担11项国、行标制修订，发表论文近20篇，SCI检索论文9篇，连续6年获省局考核“优秀”，2次获事业单位嘉奖，</w:t>
      </w:r>
      <w:r>
        <w:rPr>
          <w:rFonts w:hint="eastAsia" w:ascii="仿宋_GB2312" w:hAnsi="仿宋_GB2312" w:eastAsia="仿宋_GB2312" w:cs="仿宋_GB2312"/>
          <w:sz w:val="32"/>
          <w:szCs w:val="32"/>
          <w:lang w:eastAsia="zh-CN"/>
        </w:rPr>
        <w:t>先后</w:t>
      </w:r>
      <w:r>
        <w:rPr>
          <w:rFonts w:hint="eastAsia" w:ascii="仿宋_GB2312" w:hAnsi="仿宋_GB2312" w:eastAsia="仿宋_GB2312" w:cs="仿宋_GB2312"/>
          <w:sz w:val="32"/>
          <w:szCs w:val="32"/>
        </w:rPr>
        <w:t>获评福建省市场监管系统先进工作者、福建省直机关优秀党务工作者等荣誉。他带领福建省纤维检验中心事业迅猛发展，综合实力跃升全国前列，新增10余项国内外专业资质，荣获福建省五一劳动奖状、获省委颁发“福建省抗击新冠肺炎疫情先进集体”，蝉联三届省级文明单位，获全国青少年维权岗等33项全国性、省直级以上称号。</w:t>
      </w:r>
    </w:p>
    <w:p w14:paraId="7E268917">
      <w:pPr>
        <w:widowControl w:val="0"/>
        <w:pBdr>
          <w:top w:val="none" w:color="auto" w:sz="0" w:space="1"/>
          <w:left w:val="none" w:color="auto" w:sz="0" w:space="4"/>
          <w:bottom w:val="none" w:color="auto" w:sz="0" w:space="1"/>
          <w:right w:val="none" w:color="auto" w:sz="0" w:space="4"/>
        </w:pBdr>
        <w:snapToGrid w:val="0"/>
        <w:spacing w:line="600" w:lineRule="exact"/>
        <w:jc w:val="both"/>
        <w:outlineLvl w:val="9"/>
        <w:rPr>
          <w:rFonts w:ascii="Calibri" w:hAnsi="Calibri" w:eastAsia="宋体" w:cs="Times New Roman"/>
          <w:kern w:val="2"/>
          <w:sz w:val="18"/>
          <w:szCs w:val="22"/>
          <w:lang w:val="zh-CN" w:eastAsia="zh-CN" w:bidi="ar-SA"/>
        </w:rPr>
      </w:pPr>
    </w:p>
    <w:p w14:paraId="07F436D1">
      <w:pPr>
        <w:pStyle w:val="8"/>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643" w:firstLineChars="200"/>
        <w:jc w:val="left"/>
        <w:textAlignment w:val="auto"/>
        <w:outlineLvl w:val="9"/>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bCs/>
          <w:sz w:val="32"/>
          <w:szCs w:val="32"/>
          <w:lang w:val="en-US" w:eastAsia="zh-CN"/>
        </w:rPr>
        <w:t>3.陈晓丹：</w:t>
      </w:r>
      <w:r>
        <w:rPr>
          <w:rFonts w:hint="eastAsia" w:ascii="仿宋_GB2312" w:hAnsi="仿宋_GB2312" w:eastAsia="仿宋_GB2312" w:cs="仿宋_GB2312"/>
          <w:spacing w:val="-6"/>
          <w:kern w:val="0"/>
          <w:sz w:val="32"/>
          <w:szCs w:val="32"/>
          <w:lang w:val="en-US" w:eastAsia="zh-CN" w:bidi="ar"/>
        </w:rPr>
        <w:t>该</w:t>
      </w:r>
      <w:r>
        <w:rPr>
          <w:rFonts w:hint="eastAsia" w:ascii="仿宋_GB2312" w:hAnsi="仿宋_GB2312" w:eastAsia="仿宋_GB2312" w:cs="仿宋_GB2312"/>
          <w:b w:val="0"/>
          <w:bCs w:val="0"/>
          <w:sz w:val="32"/>
          <w:szCs w:val="32"/>
          <w:vertAlign w:val="baseline"/>
          <w:lang w:val="en-US" w:eastAsia="zh-CN"/>
        </w:rPr>
        <w:t>同志始终坚持以习近平法治思想为指引，坚持求真务实，注重开拓创新。获得“2022年泉州市优化营商环境先进个人”、“2022年福建省优化营商环境工作表现突出个人”等称号。勇于担当，做优化营商环境的护航者。推动《泉州市市场监管领域不予处罚和减轻从轻处罚适用规则》《生产经营规模与“三小”生产经营者等同的自然人、法人和非法人组织的食品安全违法行为相关认定标准》等全省首创裁量制度出台落实。积极作为，做合规指导高质量发展的推动者。提出“审批事务辅导制、查处违法疏导制、合规经营指导制、维权兴企引导制”四项行政指导机制，发布全省首个《市场监管领域经营主体行政合规指导清单》</w:t>
      </w:r>
      <w:r>
        <w:rPr>
          <w:rFonts w:hint="eastAsia" w:ascii="仿宋_GB2312" w:hAnsi="仿宋_GB2312" w:eastAsia="仿宋_GB2312" w:cs="仿宋_GB2312"/>
          <w:b w:val="0"/>
          <w:bCs w:val="0"/>
          <w:i w:val="0"/>
          <w:iCs w:val="0"/>
          <w:sz w:val="32"/>
          <w:szCs w:val="32"/>
          <w:vertAlign w:val="baseline"/>
          <w:lang w:val="en-US" w:eastAsia="zh-CN"/>
        </w:rPr>
        <w:t>。聚焦主责，</w:t>
      </w:r>
      <w:r>
        <w:rPr>
          <w:rFonts w:hint="eastAsia" w:ascii="仿宋_GB2312" w:hAnsi="仿宋_GB2312" w:eastAsia="仿宋_GB2312" w:cs="仿宋_GB2312"/>
          <w:b w:val="0"/>
          <w:bCs w:val="0"/>
          <w:i w:val="0"/>
          <w:iCs w:val="0"/>
          <w:sz w:val="32"/>
          <w:szCs w:val="32"/>
          <w:vertAlign w:val="baseline"/>
          <w:lang w:val="zh-CN" w:eastAsia="zh-CN"/>
        </w:rPr>
        <w:t>做法治市场监管建设的实践者</w:t>
      </w:r>
      <w:r>
        <w:rPr>
          <w:rFonts w:hint="eastAsia" w:ascii="仿宋_GB2312" w:hAnsi="仿宋_GB2312" w:eastAsia="仿宋_GB2312" w:cs="仿宋_GB2312"/>
          <w:b w:val="0"/>
          <w:bCs w:val="0"/>
          <w:i w:val="0"/>
          <w:iCs w:val="0"/>
          <w:sz w:val="32"/>
          <w:szCs w:val="32"/>
          <w:vertAlign w:val="baseline"/>
          <w:lang w:val="en-US" w:eastAsia="zh-CN"/>
        </w:rPr>
        <w:t>。</w:t>
      </w:r>
      <w:r>
        <w:rPr>
          <w:rFonts w:hint="eastAsia" w:ascii="仿宋_GB2312" w:hAnsi="仿宋_GB2312" w:eastAsia="仿宋_GB2312" w:cs="仿宋_GB2312"/>
          <w:b w:val="0"/>
          <w:bCs w:val="0"/>
          <w:i w:val="0"/>
          <w:iCs w:val="0"/>
          <w:sz w:val="32"/>
          <w:szCs w:val="32"/>
          <w:vertAlign w:val="baseline"/>
          <w:lang w:val="zh-CN" w:eastAsia="zh-CN"/>
        </w:rPr>
        <w:t>强化执法监督，化解行政争议，推进重大执法决定合法性审查，法治化市场监管建设</w:t>
      </w:r>
      <w:r>
        <w:rPr>
          <w:rFonts w:hint="eastAsia" w:ascii="仿宋_GB2312" w:hAnsi="仿宋_GB2312" w:eastAsia="仿宋_GB2312" w:cs="仿宋_GB2312"/>
          <w:b w:val="0"/>
          <w:bCs w:val="0"/>
          <w:sz w:val="32"/>
          <w:szCs w:val="32"/>
          <w:vertAlign w:val="baseline"/>
          <w:lang w:val="zh-CN" w:eastAsia="zh-CN"/>
        </w:rPr>
        <w:t>。</w:t>
      </w:r>
    </w:p>
    <w:p w14:paraId="7DA995BF">
      <w:pPr>
        <w:widowControl w:val="0"/>
        <w:pBdr>
          <w:top w:val="none" w:color="auto" w:sz="0" w:space="1"/>
          <w:left w:val="none" w:color="auto" w:sz="0" w:space="4"/>
          <w:bottom w:val="none" w:color="auto" w:sz="0" w:space="1"/>
          <w:right w:val="none" w:color="auto" w:sz="0" w:space="4"/>
        </w:pBdr>
        <w:snapToGrid w:val="0"/>
        <w:spacing w:line="600" w:lineRule="exact"/>
        <w:jc w:val="both"/>
        <w:outlineLvl w:val="9"/>
        <w:rPr>
          <w:rFonts w:ascii="Calibri" w:hAnsi="Calibri" w:eastAsia="宋体" w:cs="Times New Roman"/>
          <w:kern w:val="2"/>
          <w:sz w:val="18"/>
          <w:szCs w:val="22"/>
          <w:lang w:val="zh-CN" w:eastAsia="zh-CN" w:bidi="ar-SA"/>
        </w:rPr>
      </w:pPr>
    </w:p>
    <w:p w14:paraId="29821F5B">
      <w:pPr>
        <w:pStyle w:val="7"/>
        <w:spacing w:line="560" w:lineRule="exact"/>
        <w:ind w:firstLine="628"/>
        <w:textAlignment w:val="auto"/>
        <w:outlineLvl w:val="9"/>
        <w:rPr>
          <w:rFonts w:hint="eastAsia" w:ascii="仿宋_GB2312" w:hAnsi="宋体"/>
          <w:b/>
        </w:rPr>
      </w:pPr>
      <w:r>
        <w:rPr>
          <w:rFonts w:hint="eastAsia" w:ascii="楷体_GB2312" w:hAnsi="楷体_GB2312" w:eastAsia="楷体_GB2312" w:cs="楷体_GB2312"/>
          <w:b/>
          <w:bCs/>
          <w:snapToGrid w:val="0"/>
          <w:spacing w:val="-2"/>
          <w:kern w:val="0"/>
          <w:sz w:val="32"/>
          <w:szCs w:val="32"/>
          <w:lang w:val="en-US" w:eastAsia="zh-CN"/>
        </w:rPr>
        <w:t>4.</w:t>
      </w:r>
      <w:r>
        <w:rPr>
          <w:rFonts w:hint="eastAsia" w:ascii="楷体_GB2312" w:hAnsi="楷体_GB2312" w:eastAsia="楷体_GB2312" w:cs="楷体_GB2312"/>
          <w:b/>
          <w:bCs/>
          <w:snapToGrid w:val="0"/>
          <w:spacing w:val="-2"/>
          <w:kern w:val="0"/>
          <w:sz w:val="32"/>
          <w:szCs w:val="32"/>
          <w:lang w:eastAsia="zh-CN"/>
        </w:rPr>
        <w:t>童斐：</w:t>
      </w:r>
      <w:r>
        <w:rPr>
          <w:rFonts w:hint="eastAsia" w:ascii="仿宋_GB2312" w:hAnsi="仿宋_GB2312" w:eastAsia="仿宋_GB2312" w:cs="仿宋_GB2312"/>
          <w:snapToGrid w:val="0"/>
          <w:spacing w:val="-2"/>
          <w:kern w:val="0"/>
          <w:sz w:val="32"/>
          <w:szCs w:val="32"/>
          <w:lang w:eastAsia="zh-CN"/>
        </w:rPr>
        <w:t>该</w:t>
      </w:r>
      <w:r>
        <w:rPr>
          <w:rFonts w:hint="eastAsia" w:ascii="仿宋_GB2312" w:hAnsi="仿宋_GB2312" w:eastAsia="仿宋_GB2312" w:cs="仿宋_GB2312"/>
          <w:sz w:val="32"/>
          <w:szCs w:val="32"/>
        </w:rPr>
        <w:t>同志长期奋战在市场监管执法工作一线，特别能吃苦、特别能战斗、特别能攻关、特别能奉献的工作作风是她的鲜明特征，在食品药品案件查办方面成效显著。该同志近年来查办各类案件百余起，移送公安追究刑事责任案件十余起，主办的案件无一败诉败议，罚没金额累计3171万元。先后主办三起国家市场监管总局督办的重大案件，多次获评国家、福建省典型案件，其主办的某公司销售伪造核酸检测报告的进口冷冻猪肉案，对当事人罚款1800余万，为全省进口冷链食品第一大案。该同志潜心研究业务法规，通过司考成为公职律师，结合办案实际起草《厦门市市场监督管理局行政执法疑难案件协调办理暂行办法》，指导规范基层执法工作。该同志在年度考核多次被评为优秀，荣获三等功两次，先后获评厦门市食品安全工作先进个人、厦门市“十佳食安卫士”及厦门市市场监管系统优秀共产党员。</w:t>
      </w:r>
      <w:r>
        <w:rPr>
          <w:rFonts w:hint="eastAsia" w:ascii="仿宋_GB2312" w:hAnsi="Times New Roman" w:cs="Times New Roman"/>
        </w:rPr>
        <mc:AlternateContent>
          <mc:Choice Requires="wps">
            <w:drawing>
              <wp:anchor distT="0" distB="0" distL="114300" distR="114300" simplePos="0" relativeHeight="251661312" behindDoc="0" locked="1" layoutInCell="1" hidden="1" allowOverlap="1">
                <wp:simplePos x="0" y="0"/>
                <wp:positionH relativeFrom="column">
                  <wp:posOffset>237490</wp:posOffset>
                </wp:positionH>
                <wp:positionV relativeFrom="page">
                  <wp:posOffset>9072880</wp:posOffset>
                </wp:positionV>
                <wp:extent cx="3000375" cy="360045"/>
                <wp:effectExtent l="0" t="0" r="0" b="0"/>
                <wp:wrapTopAndBottom/>
                <wp:docPr id="2" name="文本框 2" hidden="1"/>
                <wp:cNvGraphicFramePr/>
                <a:graphic xmlns:a="http://schemas.openxmlformats.org/drawingml/2006/main">
                  <a:graphicData uri="http://schemas.microsoft.com/office/word/2010/wordprocessingShape">
                    <wps:wsp>
                      <wps:cNvSpPr txBox="1"/>
                      <wps:spPr>
                        <a:xfrm>
                          <a:off x="0" y="0"/>
                          <a:ext cx="3000375" cy="360045"/>
                        </a:xfrm>
                        <a:prstGeom prst="rect">
                          <a:avLst/>
                        </a:prstGeom>
                        <a:noFill/>
                        <a:ln>
                          <a:noFill/>
                        </a:ln>
                      </wps:spPr>
                      <wps:txbx>
                        <w:txbxContent>
                          <w:p w14:paraId="30C97C7B">
                            <w:pPr>
                              <w:pStyle w:val="6"/>
                              <w:rPr>
                                <w:rFonts w:hint="eastAsia" w:ascii="方正仿宋简体" w:hAnsi="Times New Roman" w:eastAsia="方正仿宋简体" w:cs="Times New Roman"/>
                                <w:sz w:val="31"/>
                                <w:szCs w:val="31"/>
                              </w:rPr>
                            </w:pPr>
                          </w:p>
                        </w:txbxContent>
                      </wps:txbx>
                      <wps:bodyPr lIns="0" tIns="0" rIns="0" bIns="0" upright="1"/>
                    </wps:wsp>
                  </a:graphicData>
                </a:graphic>
              </wp:anchor>
            </w:drawing>
          </mc:Choice>
          <mc:Fallback>
            <w:pict>
              <v:shape id="_x0000_s1026" o:spid="_x0000_s1026" o:spt="202" type="#_x0000_t202" style="position:absolute;left:0pt;margin-left:18.7pt;margin-top:714.4pt;height:28.35pt;width:236.25pt;mso-position-vertical-relative:page;mso-wrap-distance-bottom:0pt;mso-wrap-distance-top:0pt;visibility:hidden;z-index:251661312;mso-width-relative:page;mso-height-relative:page;" filled="f" stroked="f" coordsize="21600,21600" o:gfxdata="UEsDBAoAAAAAAIdO4kAAAAAAAAAAAAAAAAAEAAAAZHJzL1BLAwQUAAAACACHTuJASSn+f9cAAAAM&#10;AQAADwAAAGRycy9kb3ducmV2LnhtbE2Py07DMBBF90j8gzVI7KiTtiluiFMJpLADiZYPcOMhibDH&#10;Uey++HqmK1jOnaP7qDZn78QRpzgE0pDPMhBIbbADdRo+d82DAhGTIWtcINRwwQib+vamMqUNJ/rA&#10;4zZ1gk0olkZDn9JYShnbHr2JszAi8e8rTN4kPqdO2smc2Nw7Oc+ylfRmIE7ozYgvPbbf24PX8Nas&#10;8p+Rgrvg7lXl6l09Nwul9f1dnj2BSHhOfzBc63N1qLnTPhzIRuE0LB6XTLK+nCvewESRrdcg9ldJ&#10;FQXIupL/R9S/UEsDBBQAAAAIAIdO4kCem85RvwEAAH0DAAAOAAAAZHJzL2Uyb0RvYy54bWytU0tu&#10;2zAQ3RfoHQjuazJ2kgaC5QCBkaBA0RZIcgCaH4sAfyBpS75Ae4Ouuum+5/I5OqRsJ003WWRDDWfI&#10;N++9oebXgzVoK2PS3rX4bEIxko57od26xY8Ptx+uMEqZOcGMd7LFO5nw9eL9u3kfGjn1nTdCRgQg&#10;LjV9aHGXc2gISbyTlqWJD9JBUfloWYZtXBMRWQ/o1pAppZek91GE6LlMCbLLsYgPiPE1gF4pzeXS&#10;842VLo+oURqWQVLqdEh4UdkqJXn+qlSSGZkWg9JcV2gC8aqsZDFnzTqy0Gl+oMBeQ+GFJsu0g6Yn&#10;qCXLDG2i/g/Kah598ipPuLdkFFIdARVn9IU39x0LsmoBq1M4mZ7eDpZ/2X6LSIsWTzFyzMLA9z9/&#10;7H/92f/+jiDVaSFkeSfFqT6kBi7cB7iShxs/PMsnSBYDBhVt+YI0BHXweXfyWQ4ZcUjOKKWzjxcY&#10;cajNLik9vyjw5Ol2iCnfSW9RCVocYY7VXrb9nPJ49HikNHP+VhtTZ2ncPwnALBlSqI8US5SH1XDQ&#10;s/JiB3LMJweulhdyDOIxWB2DTYh63QGdakaFhKlU3ocXVMb+fF8bP/01i7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BJKf5/1wAAAAwBAAAPAAAAAAAAAAEAIAAAACIAAABkcnMvZG93bnJldi54bWxQ&#10;SwECFAAUAAAACACHTuJAnpvOUb8BAAB9AwAADgAAAAAAAAABACAAAAAmAQAAZHJzL2Uyb0RvYy54&#10;bWxQSwUGAAAAAAYABgBZAQAAVwUAAAAA&#10;">
                <v:fill on="f" focussize="0,0"/>
                <v:stroke on="f"/>
                <v:imagedata o:title=""/>
                <o:lock v:ext="edit" aspectratio="f"/>
                <v:textbox inset="0mm,0mm,0mm,0mm">
                  <w:txbxContent>
                    <w:p w14:paraId="30C97C7B">
                      <w:pPr>
                        <w:pStyle w:val="6"/>
                        <w:rPr>
                          <w:rFonts w:hint="eastAsia" w:ascii="方正仿宋简体" w:hAnsi="Times New Roman" w:eastAsia="方正仿宋简体" w:cs="Times New Roman"/>
                          <w:sz w:val="31"/>
                          <w:szCs w:val="31"/>
                        </w:rPr>
                      </w:pPr>
                    </w:p>
                  </w:txbxContent>
                </v:textbox>
                <w10:wrap type="topAndBottom"/>
                <w10:anchorlock/>
              </v:shape>
            </w:pict>
          </mc:Fallback>
        </mc:AlternateContent>
      </w:r>
      <w:r>
        <w:rPr>
          <w:rFonts w:hint="eastAsia" w:ascii="仿宋_GB2312" w:hAnsi="Times New Roman" w:cs="Times New Roman"/>
        </w:rPr>
        <mc:AlternateContent>
          <mc:Choice Requires="wps">
            <w:drawing>
              <wp:anchor distT="0" distB="0" distL="114300" distR="114300" simplePos="0" relativeHeight="251660288" behindDoc="0" locked="1" layoutInCell="1" hidden="1" allowOverlap="1">
                <wp:simplePos x="0" y="0"/>
                <wp:positionH relativeFrom="column">
                  <wp:posOffset>3236595</wp:posOffset>
                </wp:positionH>
                <wp:positionV relativeFrom="page">
                  <wp:posOffset>9072880</wp:posOffset>
                </wp:positionV>
                <wp:extent cx="2333625" cy="360045"/>
                <wp:effectExtent l="0" t="0" r="0" b="0"/>
                <wp:wrapTopAndBottom/>
                <wp:docPr id="3" name="文本框 3" hidden="1"/>
                <wp:cNvGraphicFramePr/>
                <a:graphic xmlns:a="http://schemas.openxmlformats.org/drawingml/2006/main">
                  <a:graphicData uri="http://schemas.microsoft.com/office/word/2010/wordprocessingShape">
                    <wps:wsp>
                      <wps:cNvSpPr txBox="1"/>
                      <wps:spPr>
                        <a:xfrm>
                          <a:off x="0" y="0"/>
                          <a:ext cx="2333625" cy="360045"/>
                        </a:xfrm>
                        <a:prstGeom prst="rect">
                          <a:avLst/>
                        </a:prstGeom>
                        <a:noFill/>
                        <a:ln>
                          <a:noFill/>
                        </a:ln>
                      </wps:spPr>
                      <wps:txbx>
                        <w:txbxContent>
                          <w:p w14:paraId="618425DE">
                            <w:pPr>
                              <w:wordWrap w:val="0"/>
                              <w:jc w:val="right"/>
                              <w:rPr>
                                <w:rFonts w:hint="eastAsia" w:ascii="方正仿宋简体" w:hAnsi="Times New Roman" w:eastAsia="方正仿宋简体" w:cs="Times New Roman"/>
                                <w:sz w:val="31"/>
                                <w:szCs w:val="31"/>
                              </w:rPr>
                            </w:pPr>
                            <w:r>
                              <w:rPr>
                                <w:rFonts w:hint="eastAsia" w:ascii="方正仿宋简体" w:hAnsi="Times New Roman" w:eastAsia="方正仿宋简体" w:cs="Times New Roman"/>
                                <w:sz w:val="31"/>
                                <w:szCs w:val="31"/>
                              </w:rPr>
                              <w:fldChar w:fldCharType="begin"/>
                            </w:r>
                            <w:r>
                              <w:rPr>
                                <w:rFonts w:hint="eastAsia" w:ascii="方正仿宋简体" w:hAnsi="Times New Roman" w:eastAsia="方正仿宋简体" w:cs="Times New Roman"/>
                                <w:sz w:val="31"/>
                                <w:szCs w:val="31"/>
                              </w:rPr>
                              <w:instrText xml:space="preserve"> MERGEFIELD 签发时间 </w:instrText>
                            </w:r>
                            <w:r>
                              <w:rPr>
                                <w:rFonts w:hint="eastAsia" w:ascii="方正仿宋简体" w:hAnsi="Times New Roman" w:eastAsia="方正仿宋简体" w:cs="Times New Roman"/>
                                <w:sz w:val="31"/>
                                <w:szCs w:val="31"/>
                              </w:rPr>
                              <w:fldChar w:fldCharType="separate"/>
                            </w:r>
                            <w:r>
                              <w:rPr>
                                <w:rFonts w:ascii="方正仿宋简体" w:hAnsi="Times New Roman" w:eastAsia="方正仿宋简体" w:cs="Times New Roman"/>
                                <w:sz w:val="31"/>
                                <w:szCs w:val="31"/>
                              </w:rPr>
                              <w:t>«</w:t>
                            </w:r>
                            <w:r>
                              <w:rPr>
                                <w:rFonts w:hint="eastAsia" w:ascii="方正仿宋简体" w:hAnsi="Times New Roman" w:eastAsia="方正仿宋简体" w:cs="Times New Roman"/>
                                <w:sz w:val="31"/>
                                <w:szCs w:val="31"/>
                              </w:rPr>
                              <w:t>签发时间</w:t>
                            </w:r>
                            <w:r>
                              <w:rPr>
                                <w:rFonts w:ascii="方正仿宋简体" w:hAnsi="Times New Roman" w:eastAsia="方正仿宋简体" w:cs="Times New Roman"/>
                                <w:sz w:val="31"/>
                                <w:szCs w:val="31"/>
                              </w:rPr>
                              <w:t>»</w:t>
                            </w:r>
                            <w:r>
                              <w:rPr>
                                <w:rFonts w:hint="eastAsia" w:ascii="方正仿宋简体" w:hAnsi="Times New Roman" w:eastAsia="方正仿宋简体" w:cs="Times New Roman"/>
                                <w:sz w:val="31"/>
                                <w:szCs w:val="31"/>
                              </w:rPr>
                              <w:fldChar w:fldCharType="end"/>
                            </w:r>
                            <w:r>
                              <w:rPr>
                                <w:rFonts w:hint="eastAsia" w:ascii="方正仿宋简体" w:hAnsi="Times New Roman" w:eastAsia="方正仿宋简体" w:cs="Times New Roman"/>
                                <w:sz w:val="31"/>
                                <w:szCs w:val="31"/>
                              </w:rPr>
                              <w:t xml:space="preserve">翻印  </w:t>
                            </w:r>
                          </w:p>
                        </w:txbxContent>
                      </wps:txbx>
                      <wps:bodyPr lIns="0" tIns="0" rIns="0" bIns="0" upright="1"/>
                    </wps:wsp>
                  </a:graphicData>
                </a:graphic>
              </wp:anchor>
            </w:drawing>
          </mc:Choice>
          <mc:Fallback>
            <w:pict>
              <v:shape id="_x0000_s1026" o:spid="_x0000_s1026" o:spt="202" type="#_x0000_t202" style="position:absolute;left:0pt;margin-left:254.85pt;margin-top:714.4pt;height:28.35pt;width:183.75pt;mso-position-vertical-relative:page;mso-wrap-distance-bottom:0pt;mso-wrap-distance-top:0pt;visibility:hidden;z-index:251660288;mso-width-relative:page;mso-height-relative:page;" filled="f" stroked="f" coordsize="21600,21600" o:gfxdata="UEsDBAoAAAAAAIdO4kAAAAAAAAAAAAAAAAAEAAAAZHJzL1BLAwQUAAAACACHTuJAP6N/fNkAAAAN&#10;AQAADwAAAGRycy9kb3ducmV2LnhtbE2PzU7DMBCE70i8g7VI3KiTQBqTxqkEUriBRMsDuPE2iYjX&#10;Uez+8fRsT3DcmU+zM9X67EZxxDkMnjSkiwQEUuvtQJ2Gr23zoECEaMia0RNquGCAdX17U5nS+hN9&#10;4nETO8EhFEqjoY9xKqUMbY/OhIWfkNjb+9mZyOfcSTubE4e7UWZJspTODMQfejPha4/t9+bgNLw3&#10;y/RnIj9ecPumUvWhXppHpfX9XZqsQEQ8xz8YrvW5OtTcaecPZIMYNeTJc8EoG0+Z4hGMqKLIQOyu&#10;kspzkHUl/6+ofwFQSwMEFAAAAAgAh07iQIzqVwDAAQAAfQMAAA4AAABkcnMvZTJvRG9jLnhtbK1T&#10;S27bMBDdF+gdCO5rKlZjFILlAIWRokDRFkh7AJqkLAL8gUNb8gXaG3TVTfc9l8/RIWU7abLJIhtq&#10;OEO+ee8NtbwZrSF7FUF719KrWUWJcsJL7bYt/f7t9s07SiBxJ7nxTrX0oIDerF6/Wg6hUXPfeyNV&#10;JAjioBlCS/uUQsMYiF5ZDjMflMNi56PlCbdxy2TkA6Jbw+ZVtWCDjzJELxQAZtdTkZ4Q43MAfddp&#10;odZe7KxyaUKNyvCEkqDXAeiqsO06JdKXrgOViGkpKk1lxSYYb/LKVkvebCMPvRYnCvw5FB5pslw7&#10;bHqBWvPEyS7qJ1BWi+jBd2kmvGWTkOIIqriqHnlz1/Ogiha0GsLFdHg5WPF5/zUSLVtaU+K4xYEf&#10;f/08/v57/PODYKrXUqr8TrJTQ4AGL9wFvJLG9358kAdMZgPGLtr8RWkE6+jz4eKzGhMRmJzXdb2Y&#10;X1MisFYvqurtdYZn97dDhPRBeUty0NKIcyz28v0nSNPR85HczPlbbUyZpXH/JRAzZ1imPlHMURo3&#10;40nPxssDyjEfHbqaX8g5iOdgcw52Ieptj3SKGQUSp1J4n15QHvvDfWl8/9es/g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A/o3982QAAAA0BAAAPAAAAAAAAAAEAIAAAACIAAABkcnMvZG93bnJldi54&#10;bWxQSwECFAAUAAAACACHTuJAjOpXAMABAAB9AwAADgAAAAAAAAABACAAAAAoAQAAZHJzL2Uyb0Rv&#10;Yy54bWxQSwUGAAAAAAYABgBZAQAAWgUAAAAA&#10;">
                <v:fill on="f" focussize="0,0"/>
                <v:stroke on="f"/>
                <v:imagedata o:title=""/>
                <o:lock v:ext="edit" aspectratio="f"/>
                <v:textbox inset="0mm,0mm,0mm,0mm">
                  <w:txbxContent>
                    <w:p w14:paraId="618425DE">
                      <w:pPr>
                        <w:wordWrap w:val="0"/>
                        <w:jc w:val="right"/>
                        <w:rPr>
                          <w:rFonts w:hint="eastAsia" w:ascii="方正仿宋简体" w:hAnsi="Times New Roman" w:eastAsia="方正仿宋简体" w:cs="Times New Roman"/>
                          <w:sz w:val="31"/>
                          <w:szCs w:val="31"/>
                        </w:rPr>
                      </w:pPr>
                      <w:r>
                        <w:rPr>
                          <w:rFonts w:hint="eastAsia" w:ascii="方正仿宋简体" w:hAnsi="Times New Roman" w:eastAsia="方正仿宋简体" w:cs="Times New Roman"/>
                          <w:sz w:val="31"/>
                          <w:szCs w:val="31"/>
                        </w:rPr>
                        <w:fldChar w:fldCharType="begin"/>
                      </w:r>
                      <w:r>
                        <w:rPr>
                          <w:rFonts w:hint="eastAsia" w:ascii="方正仿宋简体" w:hAnsi="Times New Roman" w:eastAsia="方正仿宋简体" w:cs="Times New Roman"/>
                          <w:sz w:val="31"/>
                          <w:szCs w:val="31"/>
                        </w:rPr>
                        <w:instrText xml:space="preserve"> MERGEFIELD 签发时间 </w:instrText>
                      </w:r>
                      <w:r>
                        <w:rPr>
                          <w:rFonts w:hint="eastAsia" w:ascii="方正仿宋简体" w:hAnsi="Times New Roman" w:eastAsia="方正仿宋简体" w:cs="Times New Roman"/>
                          <w:sz w:val="31"/>
                          <w:szCs w:val="31"/>
                        </w:rPr>
                        <w:fldChar w:fldCharType="separate"/>
                      </w:r>
                      <w:r>
                        <w:rPr>
                          <w:rFonts w:ascii="方正仿宋简体" w:hAnsi="Times New Roman" w:eastAsia="方正仿宋简体" w:cs="Times New Roman"/>
                          <w:sz w:val="31"/>
                          <w:szCs w:val="31"/>
                        </w:rPr>
                        <w:t>«</w:t>
                      </w:r>
                      <w:r>
                        <w:rPr>
                          <w:rFonts w:hint="eastAsia" w:ascii="方正仿宋简体" w:hAnsi="Times New Roman" w:eastAsia="方正仿宋简体" w:cs="Times New Roman"/>
                          <w:sz w:val="31"/>
                          <w:szCs w:val="31"/>
                        </w:rPr>
                        <w:t>签发时间</w:t>
                      </w:r>
                      <w:r>
                        <w:rPr>
                          <w:rFonts w:ascii="方正仿宋简体" w:hAnsi="Times New Roman" w:eastAsia="方正仿宋简体" w:cs="Times New Roman"/>
                          <w:sz w:val="31"/>
                          <w:szCs w:val="31"/>
                        </w:rPr>
                        <w:t>»</w:t>
                      </w:r>
                      <w:r>
                        <w:rPr>
                          <w:rFonts w:hint="eastAsia" w:ascii="方正仿宋简体" w:hAnsi="Times New Roman" w:eastAsia="方正仿宋简体" w:cs="Times New Roman"/>
                          <w:sz w:val="31"/>
                          <w:szCs w:val="31"/>
                        </w:rPr>
                        <w:fldChar w:fldCharType="end"/>
                      </w:r>
                      <w:r>
                        <w:rPr>
                          <w:rFonts w:hint="eastAsia" w:ascii="方正仿宋简体" w:hAnsi="Times New Roman" w:eastAsia="方正仿宋简体" w:cs="Times New Roman"/>
                          <w:sz w:val="31"/>
                          <w:szCs w:val="31"/>
                        </w:rPr>
                        <w:t xml:space="preserve">翻印  </w:t>
                      </w:r>
                    </w:p>
                  </w:txbxContent>
                </v:textbox>
                <w10:wrap type="topAndBottom"/>
                <w10:anchorlock/>
              </v:shape>
            </w:pict>
          </mc:Fallback>
        </mc:AlternateContent>
      </w:r>
      <w:r>
        <w:rPr>
          <w:rFonts w:hint="eastAsia" w:ascii="仿宋_GB2312" w:hAnsi="Times New Roman" w:cs="Times New Roman"/>
        </w:rPr>
        <mc:AlternateContent>
          <mc:Choice Requires="wps">
            <w:drawing>
              <wp:anchor distT="0" distB="0" distL="114300" distR="114300" simplePos="0" relativeHeight="251659264" behindDoc="0" locked="1" layoutInCell="1" hidden="1" allowOverlap="1">
                <wp:simplePos x="0" y="0"/>
                <wp:positionH relativeFrom="margin">
                  <wp:posOffset>-14605</wp:posOffset>
                </wp:positionH>
                <wp:positionV relativeFrom="page">
                  <wp:posOffset>9447530</wp:posOffset>
                </wp:positionV>
                <wp:extent cx="5579745" cy="0"/>
                <wp:effectExtent l="0" t="0" r="0" b="0"/>
                <wp:wrapTopAndBottom/>
                <wp:docPr id="1" name="直接连接符 1" hidden="1"/>
                <wp:cNvGraphicFramePr/>
                <a:graphic xmlns:a="http://schemas.openxmlformats.org/drawingml/2006/main">
                  <a:graphicData uri="http://schemas.microsoft.com/office/word/2010/wordprocessingShape">
                    <wps:wsp>
                      <wps:cNvCnPr/>
                      <wps:spPr>
                        <a:xfrm>
                          <a:off x="0" y="0"/>
                          <a:ext cx="5579745" cy="0"/>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15pt;margin-top:743.9pt;height:0pt;width:439.35pt;mso-position-horizontal-relative:margin;mso-position-vertical-relative:page;mso-wrap-distance-bottom:0pt;mso-wrap-distance-top:0pt;visibility:hidden;z-index:251659264;mso-width-relative:page;mso-height-relative:page;" filled="f" stroked="t" coordsize="21600,21600" o:gfxdata="UEsDBAoAAAAAAIdO4kAAAAAAAAAAAAAAAAAEAAAAZHJzL1BLAwQUAAAACACHTuJA6lSXodcAAAAM&#10;AQAADwAAAGRycy9kb3ducmV2LnhtbE2Py07DMBBF90j8gzVI7FqnpWqiNE6FQCx5tAWpSzeexhH2&#10;OMTug79nWFSwnDtH91Etz96JIw6xC6RgMs5AIDXBdNQqeN88jQoQMWky2gVCBd8YYVlfX1W6NOFE&#10;KzyuUyvYhGKpFdiU+lLK2Fj0Oo5Dj8S/fRi8TnwOrTSDPrG5d3KaZXPpdUecYHWPDxabz/XBK9iv&#10;NvLl3j5/mS2m1+Ty4uPtMSp1ezPJFiASntMfDL/1uTrU3GkXDmSicApG0zsmWZ8VOW9gosjnMxC7&#10;iyTrSv4fUf8AUEsDBBQAAAAIAIdO4kBGSg8q+gEAAPADAAAOAAAAZHJzL2Uyb0RvYy54bWytU0uO&#10;EzEQ3SNxB8t70pmIEGilM4sJwwbBSMABKra725J/cjnp5BJcAIkdrFiy5zYMx6DszmRg2GRBFk7Z&#10;VX5V7/n18nJvDdupiNq7hl9MppwpJ7zUrmv4h/fXT55zhgmcBOOdavhBIb9cPX60HEKtZr73RqrI&#10;CMRhPYSG9ymFuqpQ9MoCTnxQjpKtjxYSbWNXyQgDoVtTzabTZ9XgowzRC4VIp+sxyY+I8RxA37Za&#10;qLUXW6tcGlGjMpCIEvY6IF+VadtWifS2bVElZhpOTFNZqQnFm7xWqyXUXYTQa3EcAc4Z4QEnC9pR&#10;0xPUGhKwbdT/QFktokffponwthqJFEWIxcX0gTbvegiqcCGpMZxEx/8HK97sbiLTkpzAmQNLD377&#10;6fvPj19+/fhM6+23r4wSvZZSZbdkvYaANV27cjfxuMNwEzP5fRtt/idabF80Ppw0VvvEBB3O54sX&#10;i6dzzsRdrrq/GCKmV8pbloOGG+0yfahh9xoTNaPSu5J8bBwbaKjZYkrPKYDM2JIJKLSBCKHrymX0&#10;RstrbUy+grHbXJnIdpANUX6ZEwH/VZa7rAH7sa6kRqv0CuRLJ1k6BJLK0RfC8wxWSc5MlihHBAh1&#10;Am3OqaTWxtEEWdZRyBxtvDzQw2xD1F1PUhTlSw0Zocx7NG122p/7gnT/oa5+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OpUl6HXAAAADAEAAA8AAAAAAAAAAQAgAAAAIgAAAGRycy9kb3ducmV2Lnht&#10;bFBLAQIUABQAAAAIAIdO4kBGSg8q+gEAAPADAAAOAAAAAAAAAAEAIAAAACYBAABkcnMvZTJvRG9j&#10;LnhtbFBLBQYAAAAABgAGAFkBAACSBQAAAAA=&#10;">
                <v:fill on="f" focussize="0,0"/>
                <v:stroke weight="1pt" color="#000000" joinstyle="round"/>
                <v:imagedata o:title=""/>
                <o:lock v:ext="edit" aspectratio="f"/>
                <w10:wrap type="topAndBottom"/>
                <w10:anchorlock/>
              </v:line>
            </w:pict>
          </mc:Fallback>
        </mc:AlternateContent>
      </w:r>
    </w:p>
    <w:p w14:paraId="138E5162"/>
    <w:sectPr>
      <w:pgSz w:w="11906" w:h="16838"/>
      <w:pgMar w:top="1440" w:right="1236" w:bottom="1440" w:left="123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仿宋简体">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MwNzU5NTllYzVkNjcwNDhhYmU2ODA5ZjVhZDA1YmEifQ=="/>
  </w:docVars>
  <w:rsids>
    <w:rsidRoot w:val="632165B2"/>
    <w:rsid w:val="0DB22B77"/>
    <w:rsid w:val="632165B2"/>
    <w:rsid w:val="66BA4B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qFormat="1" w:unhideWhenUsed="0" w:uiPriority="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10">
    <w:name w:val="Default Paragraph Font"/>
    <w:semiHidden/>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index 6"/>
    <w:next w:val="1"/>
    <w:semiHidden/>
    <w:qFormat/>
    <w:uiPriority w:val="0"/>
    <w:pPr>
      <w:widowControl w:val="0"/>
      <w:ind w:left="1000" w:leftChars="1000"/>
      <w:jc w:val="both"/>
    </w:pPr>
    <w:rPr>
      <w:rFonts w:ascii="Times New Roman" w:hAnsi="Times New Roman" w:eastAsia="宋体" w:cs="Times New Roman"/>
      <w:kern w:val="2"/>
      <w:sz w:val="21"/>
      <w:szCs w:val="24"/>
      <w:lang w:val="en-US" w:eastAsia="zh-CN" w:bidi="ar-SA"/>
    </w:rPr>
  </w:style>
  <w:style w:type="paragraph" w:styleId="4">
    <w:name w:val="Body Text"/>
    <w:next w:val="5"/>
    <w:qFormat/>
    <w:uiPriority w:val="0"/>
    <w:pPr>
      <w:widowControl w:val="0"/>
      <w:jc w:val="both"/>
    </w:pPr>
    <w:rPr>
      <w:rFonts w:ascii="Times New Roman" w:hAnsi="Calibri" w:eastAsia="楷体_GB2312" w:cs="Times New Roman"/>
      <w:spacing w:val="0"/>
      <w:kern w:val="2"/>
      <w:sz w:val="30"/>
      <w:szCs w:val="22"/>
      <w:lang w:val="en-US" w:eastAsia="zh-CN" w:bidi="ar-SA"/>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Date"/>
    <w:basedOn w:val="1"/>
    <w:next w:val="1"/>
    <w:uiPriority w:val="0"/>
    <w:rPr>
      <w:rFonts w:ascii="仿宋_GB2312" w:eastAsia="仿宋_GB2312"/>
      <w:sz w:val="32"/>
    </w:rPr>
  </w:style>
  <w:style w:type="paragraph" w:styleId="7">
    <w:name w:val="footnote text"/>
    <w:qFormat/>
    <w:uiPriority w:val="0"/>
    <w:pPr>
      <w:widowControl w:val="0"/>
      <w:snapToGrid w:val="0"/>
    </w:pPr>
    <w:rPr>
      <w:rFonts w:ascii="Calibri" w:hAnsi="Calibri" w:eastAsia="宋体" w:cs="Times New Roman"/>
      <w:kern w:val="2"/>
      <w:sz w:val="18"/>
      <w:szCs w:val="24"/>
      <w:lang w:val="en-US" w:eastAsia="zh-CN" w:bidi="ar-SA"/>
    </w:rPr>
  </w:style>
  <w:style w:type="paragraph" w:styleId="8">
    <w:name w:val="Normal (Web)"/>
    <w:unhideWhenUsed/>
    <w:qFormat/>
    <w:uiPriority w:val="99"/>
    <w:pPr>
      <w:widowControl/>
      <w:spacing w:before="100" w:beforeAutospacing="1" w:after="100" w:afterAutospacing="1"/>
      <w:jc w:val="left"/>
    </w:pPr>
    <w:rPr>
      <w:rFonts w:ascii="宋体" w:hAnsi="宋体" w:eastAsia="宋体" w:cs="宋体"/>
      <w:kern w:val="0"/>
      <w:sz w:val="24"/>
      <w:szCs w:val="24"/>
      <w:lang w:val="en-US" w:eastAsia="zh-CN" w:bidi="ar-SA"/>
    </w:rPr>
  </w:style>
  <w:style w:type="paragraph" w:customStyle="1" w:styleId="11">
    <w:name w:val="Acetate"/>
    <w:qFormat/>
    <w:uiPriority w:val="0"/>
    <w:pPr>
      <w:widowControl w:val="0"/>
      <w:jc w:val="both"/>
      <w:textAlignment w:val="baseline"/>
    </w:pPr>
    <w:rPr>
      <w:rFonts w:ascii="Times New Roman" w:hAnsi="Times New Roman" w:eastAsia="仿宋_GB2312" w:cs="Times New Roman"/>
      <w:kern w:val="2"/>
      <w:sz w:val="18"/>
      <w:szCs w:val="18"/>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4092</Words>
  <Characters>4224</Characters>
  <Lines>0</Lines>
  <Paragraphs>0</Paragraphs>
  <TotalTime>2</TotalTime>
  <ScaleCrop>false</ScaleCrop>
  <LinksUpToDate>false</LinksUpToDate>
  <CharactersWithSpaces>4258</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2024-10-28T01:09:00Z</dcterms:created>
  <dc:creator>user</dc:creator>
  <cp:lastModifiedBy>陈炜振</cp:lastModifiedBy>
  <dcterms:modified xsi:type="dcterms:W3CDTF">2024-10-28T03:13:29Z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2367627D1336444D89E897862641F3B9_12</vt:lpwstr>
  </property>
</Properties>
</file>